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E5A3" w14:textId="77777777" w:rsidR="00B71340" w:rsidRDefault="00B71340">
      <w:pPr>
        <w:tabs>
          <w:tab w:val="left" w:pos="1940"/>
        </w:tabs>
        <w:spacing w:after="0" w:line="240" w:lineRule="auto"/>
        <w:jc w:val="center"/>
        <w:rPr>
          <w:rFonts w:ascii="Verdana" w:hAnsi="Verdana"/>
          <w:b/>
          <w:color w:val="000000" w:themeColor="text1"/>
          <w:sz w:val="28"/>
          <w:szCs w:val="28"/>
        </w:rPr>
      </w:pPr>
    </w:p>
    <w:p w14:paraId="6703E5A4" w14:textId="77777777" w:rsidR="00B71340" w:rsidRDefault="00000000">
      <w:pPr>
        <w:tabs>
          <w:tab w:val="left" w:pos="1940"/>
        </w:tabs>
        <w:spacing w:after="0" w:line="240" w:lineRule="auto"/>
        <w:jc w:val="center"/>
        <w:rPr>
          <w:rFonts w:ascii="Verdana" w:hAnsi="Verdana"/>
          <w:b/>
          <w:color w:val="000000" w:themeColor="text1"/>
          <w:sz w:val="36"/>
          <w:szCs w:val="36"/>
        </w:rPr>
      </w:pPr>
      <w:r>
        <w:rPr>
          <w:rFonts w:ascii="Verdana" w:hAnsi="Verdana"/>
          <w:b/>
          <w:color w:val="000000" w:themeColor="text1"/>
          <w:sz w:val="36"/>
          <w:szCs w:val="36"/>
        </w:rPr>
        <w:t>Terms of Reference</w:t>
      </w:r>
    </w:p>
    <w:p w14:paraId="6703E5A5" w14:textId="77777777" w:rsidR="00B71340" w:rsidRDefault="00B71340">
      <w:pPr>
        <w:tabs>
          <w:tab w:val="left" w:pos="1940"/>
        </w:tabs>
        <w:spacing w:after="0" w:line="240" w:lineRule="auto"/>
        <w:jc w:val="center"/>
        <w:rPr>
          <w:rFonts w:ascii="Verdana" w:hAnsi="Verdana"/>
          <w:b/>
          <w:color w:val="000000" w:themeColor="text1"/>
          <w:sz w:val="28"/>
          <w:szCs w:val="28"/>
        </w:rPr>
      </w:pPr>
    </w:p>
    <w:p w14:paraId="6703E5A6" w14:textId="77777777" w:rsidR="00B71340" w:rsidRDefault="00000000">
      <w:pPr>
        <w:tabs>
          <w:tab w:val="left" w:pos="1940"/>
        </w:tabs>
        <w:spacing w:after="0" w:line="240" w:lineRule="auto"/>
        <w:jc w:val="center"/>
        <w:rPr>
          <w:rFonts w:ascii="Verdana" w:hAnsi="Verdana"/>
          <w:b/>
          <w:color w:val="000000" w:themeColor="text1"/>
          <w:sz w:val="24"/>
          <w:szCs w:val="24"/>
        </w:rPr>
      </w:pPr>
      <w:r>
        <w:rPr>
          <w:rFonts w:ascii="Verdana" w:hAnsi="Verdana"/>
          <w:b/>
          <w:color w:val="000000" w:themeColor="text1"/>
          <w:sz w:val="24"/>
          <w:szCs w:val="24"/>
        </w:rPr>
        <w:t>Development of the GEF-SGP Country Programme Strategy for Saint Vincent and the Grenadines under the Eighth Operational Phase</w:t>
      </w:r>
    </w:p>
    <w:p w14:paraId="6703E5A7" w14:textId="77777777" w:rsidR="00B71340" w:rsidRDefault="00B71340">
      <w:pPr>
        <w:tabs>
          <w:tab w:val="left" w:pos="1940"/>
        </w:tabs>
        <w:spacing w:after="0" w:line="240" w:lineRule="auto"/>
        <w:jc w:val="center"/>
        <w:rPr>
          <w:b/>
          <w:color w:val="2E74B5" w:themeColor="accent1" w:themeShade="BF"/>
          <w:sz w:val="28"/>
          <w:szCs w:val="28"/>
        </w:rPr>
      </w:pPr>
    </w:p>
    <w:p w14:paraId="6703E5A8" w14:textId="77777777" w:rsidR="00B71340" w:rsidRDefault="00000000">
      <w:pPr>
        <w:autoSpaceDE w:val="0"/>
        <w:autoSpaceDN w:val="0"/>
        <w:adjustRightInd w:val="0"/>
        <w:spacing w:after="160" w:line="240" w:lineRule="auto"/>
        <w:rPr>
          <w:rFonts w:ascii="Verdana" w:hAnsi="Verdana" w:cstheme="minorHAnsi"/>
          <w:b/>
          <w:bCs/>
          <w:color w:val="000000"/>
          <w:sz w:val="24"/>
          <w:szCs w:val="24"/>
        </w:rPr>
      </w:pPr>
      <w:r>
        <w:rPr>
          <w:rFonts w:ascii="Verdana" w:hAnsi="Verdana" w:cstheme="minorHAnsi"/>
          <w:b/>
          <w:bCs/>
          <w:color w:val="000000"/>
          <w:sz w:val="24"/>
          <w:szCs w:val="24"/>
        </w:rPr>
        <w:t>1) Background</w:t>
      </w:r>
    </w:p>
    <w:p w14:paraId="6703E5A9" w14:textId="248B1588" w:rsidR="00B71340" w:rsidRDefault="00000000">
      <w:pPr>
        <w:autoSpaceDE w:val="0"/>
        <w:autoSpaceDN w:val="0"/>
        <w:adjustRightInd w:val="0"/>
        <w:spacing w:after="160" w:line="240" w:lineRule="auto"/>
        <w:rPr>
          <w:rFonts w:ascii="Verdana" w:hAnsi="Verdana" w:cstheme="minorHAnsi"/>
          <w:color w:val="000000"/>
          <w:sz w:val="21"/>
          <w:szCs w:val="21"/>
        </w:rPr>
      </w:pPr>
      <w:r>
        <w:rPr>
          <w:rFonts w:ascii="Verdana" w:hAnsi="Verdana" w:cstheme="minorHAnsi"/>
          <w:color w:val="000000"/>
          <w:sz w:val="21"/>
          <w:szCs w:val="21"/>
        </w:rPr>
        <w:t>The Small Grants Programme (SGP) is a flagship program of the Global Environment Facility (GEF), which provides financial, technical and capacity building support to civil society organizations (CSOs)</w:t>
      </w:r>
      <w:r>
        <w:rPr>
          <w:rFonts w:ascii="Verdana" w:hAnsi="Verdana" w:cstheme="minorHAnsi"/>
          <w:color w:val="000000"/>
          <w:sz w:val="21"/>
          <w:szCs w:val="21"/>
        </w:rPr>
        <w:t>, Non-governmental Organizations</w:t>
      </w:r>
      <w:r w:rsidR="00760526">
        <w:rPr>
          <w:rFonts w:ascii="Verdana" w:hAnsi="Verdana" w:cstheme="minorHAnsi"/>
          <w:color w:val="000000"/>
          <w:sz w:val="21"/>
          <w:szCs w:val="21"/>
        </w:rPr>
        <w:t xml:space="preserve"> (NGOs)</w:t>
      </w:r>
      <w:r>
        <w:rPr>
          <w:rFonts w:ascii="Verdana" w:hAnsi="Verdana" w:cstheme="minorHAnsi"/>
          <w:color w:val="000000"/>
          <w:sz w:val="21"/>
          <w:szCs w:val="21"/>
        </w:rPr>
        <w:t xml:space="preserve"> </w:t>
      </w:r>
      <w:r>
        <w:rPr>
          <w:rFonts w:ascii="Verdana" w:hAnsi="Verdana" w:cstheme="minorHAnsi"/>
          <w:color w:val="000000"/>
          <w:sz w:val="21"/>
          <w:szCs w:val="21"/>
        </w:rPr>
        <w:t>and community-based organizations (CBOs) to implement local conservation, development and livelihood actions with Global Environmental Benefits. For the eighth operational phase (OP8), the GEF will adopt a new approach, which aims to diversify the agencies implementing the program and maximize the amount of financing flowing to CSOs</w:t>
      </w:r>
      <w:r>
        <w:rPr>
          <w:rFonts w:ascii="Verdana" w:hAnsi="Verdana" w:cstheme="minorHAnsi"/>
          <w:color w:val="000000"/>
          <w:sz w:val="21"/>
          <w:szCs w:val="21"/>
        </w:rPr>
        <w:t>,</w:t>
      </w:r>
      <w:r w:rsidR="00760526">
        <w:rPr>
          <w:rFonts w:ascii="Verdana" w:hAnsi="Verdana" w:cstheme="minorHAnsi"/>
          <w:color w:val="000000"/>
          <w:sz w:val="21"/>
          <w:szCs w:val="21"/>
        </w:rPr>
        <w:t xml:space="preserve"> NGOs and</w:t>
      </w:r>
      <w:r>
        <w:rPr>
          <w:rFonts w:ascii="Verdana" w:hAnsi="Verdana" w:cstheme="minorHAnsi"/>
          <w:color w:val="000000"/>
          <w:sz w:val="21"/>
          <w:szCs w:val="21"/>
        </w:rPr>
        <w:t xml:space="preserve"> CBOs.</w:t>
      </w:r>
    </w:p>
    <w:p w14:paraId="6703E5AA" w14:textId="77777777" w:rsidR="00B71340" w:rsidRDefault="00000000">
      <w:pPr>
        <w:autoSpaceDE w:val="0"/>
        <w:autoSpaceDN w:val="0"/>
        <w:adjustRightInd w:val="0"/>
        <w:spacing w:after="160" w:line="240" w:lineRule="auto"/>
        <w:rPr>
          <w:rFonts w:ascii="Verdana" w:hAnsi="Verdana" w:cstheme="minorHAnsi"/>
          <w:color w:val="000000"/>
          <w:sz w:val="21"/>
          <w:szCs w:val="21"/>
        </w:rPr>
      </w:pPr>
      <w:r>
        <w:rPr>
          <w:rFonts w:ascii="Verdana" w:hAnsi="Verdana" w:cstheme="minorHAnsi"/>
          <w:color w:val="000000"/>
          <w:sz w:val="21"/>
          <w:szCs w:val="21"/>
        </w:rPr>
        <w:t>In Saint Vincent and the Grenadines (SVG), the Implementing Agency for SGP during OP8 will be Conservation International (CI). The Executing Entity will be the Critical Ecosystem Partnership Fund (CEPF): a joint initiative of CI and the GEF, in partnership with l’Agence Française de Développement, the European Union, Fondation Hans Wilsdorf, the Government of Canada, the Government of Japan and the World Bank, which was established in 2000 as a mechanism to engage local actors in the conservation of the global biodiversity hotspots. The SGP will be developed and implemented in close coordination with the Sustainable Development Unit within the Ministry of Tourism, Civil Aviation, Sustainable Development and Culture.</w:t>
      </w:r>
    </w:p>
    <w:p w14:paraId="6703E5AB" w14:textId="77777777" w:rsidR="00B71340" w:rsidRDefault="00000000">
      <w:pPr>
        <w:autoSpaceDE w:val="0"/>
        <w:autoSpaceDN w:val="0"/>
        <w:adjustRightInd w:val="0"/>
        <w:spacing w:after="160" w:line="240" w:lineRule="auto"/>
        <w:rPr>
          <w:rFonts w:ascii="Verdana" w:hAnsi="Verdana" w:cstheme="minorHAnsi"/>
          <w:color w:val="000000"/>
          <w:sz w:val="21"/>
          <w:szCs w:val="21"/>
        </w:rPr>
      </w:pPr>
      <w:r>
        <w:rPr>
          <w:rFonts w:ascii="Verdana" w:hAnsi="Verdana" w:cstheme="minorHAnsi"/>
          <w:color w:val="000000"/>
          <w:sz w:val="21"/>
          <w:szCs w:val="21"/>
        </w:rPr>
        <w:t>CEPF calls for proposals to formulate strategic priorities for the operationalization of the SGP during OP8, in the form of an SGP Country Programme Strategy (CPS). The process for the preparation of the CPS should be undertaken in an inclusive, transparent and consultative manner, including with the proactive participation of relevant government agencies, academic and research institutions, and civil society organizations, as well as representatives of Indigenous people, women, youth and other marginalized or vulnerable groups.</w:t>
      </w:r>
    </w:p>
    <w:p w14:paraId="1B933C33" w14:textId="77777777" w:rsidR="000B4BA4" w:rsidRDefault="000B4BA4">
      <w:pPr>
        <w:autoSpaceDE w:val="0"/>
        <w:autoSpaceDN w:val="0"/>
        <w:adjustRightInd w:val="0"/>
        <w:spacing w:after="160" w:line="240" w:lineRule="auto"/>
        <w:rPr>
          <w:rFonts w:ascii="Verdana" w:hAnsi="Verdana" w:cstheme="minorHAnsi"/>
          <w:color w:val="000000"/>
          <w:sz w:val="21"/>
          <w:szCs w:val="21"/>
        </w:rPr>
      </w:pPr>
    </w:p>
    <w:p w14:paraId="6703E5AC" w14:textId="77777777" w:rsidR="00B71340" w:rsidRDefault="00000000">
      <w:pPr>
        <w:autoSpaceDE w:val="0"/>
        <w:autoSpaceDN w:val="0"/>
        <w:adjustRightInd w:val="0"/>
        <w:spacing w:after="160" w:line="240" w:lineRule="auto"/>
        <w:rPr>
          <w:rFonts w:ascii="Verdana" w:hAnsi="Verdana" w:cstheme="minorHAnsi"/>
          <w:b/>
          <w:bCs/>
          <w:color w:val="000000"/>
          <w:sz w:val="24"/>
          <w:szCs w:val="24"/>
        </w:rPr>
      </w:pPr>
      <w:r>
        <w:rPr>
          <w:rFonts w:ascii="Verdana" w:hAnsi="Verdana" w:cstheme="minorHAnsi"/>
          <w:b/>
          <w:bCs/>
          <w:color w:val="000000"/>
          <w:sz w:val="24"/>
          <w:szCs w:val="24"/>
        </w:rPr>
        <w:t>2) Scope of work</w:t>
      </w:r>
    </w:p>
    <w:p w14:paraId="6703E5AD" w14:textId="77777777" w:rsidR="00B71340" w:rsidRDefault="00000000">
      <w:pPr>
        <w:tabs>
          <w:tab w:val="left" w:pos="1940"/>
        </w:tabs>
        <w:spacing w:line="240" w:lineRule="auto"/>
        <w:rPr>
          <w:rFonts w:ascii="Verdana" w:hAnsi="Verdana" w:cs="Arial"/>
          <w:sz w:val="21"/>
          <w:szCs w:val="21"/>
          <w:lang w:val="en-GB"/>
        </w:rPr>
      </w:pPr>
      <w:r>
        <w:rPr>
          <w:rFonts w:ascii="Verdana" w:hAnsi="Verdana" w:cs="Arial"/>
          <w:sz w:val="21"/>
          <w:szCs w:val="21"/>
          <w:lang w:val="en-GB"/>
        </w:rPr>
        <w:t>The selected consultant will lead the preparation of the GEF-SGP CPS under OP8. This process must ensure full alignment with GEF OP8 programming guidance, relevant Multilateral Environmental Agreements, SVG’s national environmental priorities, and the strategic guidance of CEPF. The consultant will be responsible for coordinating and implementing a multi-phased, technically robust, inclusive and participatory process. The consultant will be expected to deliver all key outputs associated with each step of the assignment in a professional and timely manner.</w:t>
      </w:r>
    </w:p>
    <w:p w14:paraId="16FF0E2A" w14:textId="77777777" w:rsidR="000B4BA4" w:rsidRDefault="000B4BA4">
      <w:pPr>
        <w:tabs>
          <w:tab w:val="left" w:pos="1940"/>
        </w:tabs>
        <w:spacing w:line="240" w:lineRule="auto"/>
        <w:rPr>
          <w:rFonts w:ascii="Verdana" w:hAnsi="Verdana" w:cs="Arial"/>
          <w:sz w:val="21"/>
          <w:szCs w:val="21"/>
          <w:lang w:val="en-GB"/>
        </w:rPr>
      </w:pPr>
    </w:p>
    <w:p w14:paraId="6703E5AE" w14:textId="77777777" w:rsidR="00B71340" w:rsidRDefault="00000000" w:rsidP="000B4BA4">
      <w:pPr>
        <w:keepNext/>
        <w:autoSpaceDE w:val="0"/>
        <w:autoSpaceDN w:val="0"/>
        <w:adjustRightInd w:val="0"/>
        <w:spacing w:after="160" w:line="240" w:lineRule="auto"/>
        <w:rPr>
          <w:rFonts w:ascii="Verdana" w:hAnsi="Verdana" w:cstheme="minorHAnsi"/>
          <w:b/>
          <w:bCs/>
          <w:color w:val="000000"/>
          <w:sz w:val="24"/>
          <w:szCs w:val="24"/>
        </w:rPr>
      </w:pPr>
      <w:r>
        <w:rPr>
          <w:rFonts w:ascii="Verdana" w:hAnsi="Verdana" w:cstheme="minorHAnsi"/>
          <w:b/>
          <w:bCs/>
          <w:color w:val="000000"/>
          <w:sz w:val="24"/>
          <w:szCs w:val="24"/>
        </w:rPr>
        <w:lastRenderedPageBreak/>
        <w:t>3) Key activities</w:t>
      </w:r>
    </w:p>
    <w:p w14:paraId="6703E5AF" w14:textId="77777777" w:rsidR="00B71340" w:rsidRDefault="00000000">
      <w:pPr>
        <w:tabs>
          <w:tab w:val="left" w:pos="1940"/>
        </w:tabs>
        <w:spacing w:after="160" w:line="240" w:lineRule="auto"/>
        <w:rPr>
          <w:rFonts w:ascii="Verdana" w:hAnsi="Verdana" w:cs="Arial"/>
          <w:sz w:val="21"/>
          <w:szCs w:val="21"/>
          <w:lang w:val="en-GB"/>
        </w:rPr>
      </w:pPr>
      <w:r>
        <w:rPr>
          <w:rFonts w:ascii="Verdana" w:hAnsi="Verdana" w:cs="Arial"/>
          <w:b/>
          <w:bCs/>
          <w:sz w:val="21"/>
          <w:szCs w:val="21"/>
          <w:lang w:val="en-GB"/>
        </w:rPr>
        <w:t>Step 1: Scoping and context analysis</w:t>
      </w:r>
    </w:p>
    <w:p w14:paraId="6703E5B0" w14:textId="77777777" w:rsidR="00B71340" w:rsidRDefault="00000000">
      <w:pPr>
        <w:tabs>
          <w:tab w:val="left" w:pos="1940"/>
        </w:tabs>
        <w:spacing w:line="240" w:lineRule="auto"/>
        <w:rPr>
          <w:rFonts w:ascii="Verdana" w:hAnsi="Verdana" w:cstheme="minorHAnsi"/>
          <w:color w:val="000000"/>
          <w:sz w:val="21"/>
          <w:szCs w:val="21"/>
        </w:rPr>
      </w:pPr>
      <w:r>
        <w:rPr>
          <w:rFonts w:ascii="Verdana" w:hAnsi="Verdana" w:cstheme="minorHAnsi"/>
          <w:color w:val="000000"/>
          <w:sz w:val="21"/>
          <w:szCs w:val="21"/>
        </w:rPr>
        <w:t>As the first step in developing the SGP CPS for SVG, a scoping and context analysis exercise shall be conducted to establish a solid knowledge base that informs the strategic priorities, ensuring alignment with GEF OP8 guidelines and national priorities. This step involves the following activities:</w:t>
      </w:r>
    </w:p>
    <w:p w14:paraId="6703E5B1" w14:textId="4F53DDB4" w:rsidR="00B71340" w:rsidRDefault="00000000">
      <w:pPr>
        <w:pStyle w:val="ListParagraph"/>
        <w:numPr>
          <w:ilvl w:val="1"/>
          <w:numId w:val="1"/>
        </w:numPr>
        <w:tabs>
          <w:tab w:val="left" w:pos="1940"/>
        </w:tabs>
        <w:spacing w:line="240" w:lineRule="auto"/>
        <w:rPr>
          <w:rFonts w:ascii="Verdana" w:hAnsi="Verdana" w:cstheme="minorHAnsi"/>
          <w:color w:val="000000"/>
          <w:sz w:val="21"/>
          <w:szCs w:val="21"/>
        </w:rPr>
      </w:pPr>
      <w:r>
        <w:rPr>
          <w:rFonts w:ascii="Verdana" w:hAnsi="Verdana" w:cstheme="minorHAnsi"/>
          <w:color w:val="000000"/>
          <w:sz w:val="21"/>
          <w:szCs w:val="21"/>
        </w:rPr>
        <w:t>Conduct a comprehensive review of national policies, including the National Biodiversity Strategic Action Plan (NBSAP)</w:t>
      </w:r>
      <w:r w:rsidR="00BE5D03">
        <w:rPr>
          <w:rFonts w:ascii="Verdana" w:hAnsi="Verdana" w:cstheme="minorHAnsi"/>
          <w:color w:val="000000"/>
          <w:sz w:val="21"/>
          <w:szCs w:val="21"/>
        </w:rPr>
        <w:t xml:space="preserve"> </w:t>
      </w:r>
      <w:r>
        <w:rPr>
          <w:rFonts w:ascii="Verdana" w:hAnsi="Verdana" w:cstheme="minorHAnsi"/>
          <w:color w:val="000000"/>
          <w:sz w:val="21"/>
          <w:szCs w:val="21"/>
          <w:lang w:val="en-US"/>
        </w:rPr>
        <w:t>(2025)</w:t>
      </w:r>
      <w:r>
        <w:rPr>
          <w:rFonts w:ascii="Verdana" w:hAnsi="Verdana" w:cstheme="minorHAnsi"/>
          <w:color w:val="000000"/>
          <w:sz w:val="21"/>
          <w:szCs w:val="21"/>
        </w:rPr>
        <w:t>, the National Adaptation Plan (NAP)</w:t>
      </w:r>
      <w:r>
        <w:rPr>
          <w:rFonts w:ascii="Verdana" w:hAnsi="Verdana" w:cstheme="minorHAnsi"/>
          <w:color w:val="000000"/>
          <w:sz w:val="21"/>
          <w:szCs w:val="21"/>
          <w:lang w:val="en-US"/>
        </w:rPr>
        <w:t xml:space="preserve"> (2025), the Coastal and Marine Adaptation Plan (2025)</w:t>
      </w:r>
      <w:r>
        <w:rPr>
          <w:rFonts w:ascii="Verdana" w:hAnsi="Verdana" w:cstheme="minorHAnsi"/>
          <w:color w:val="000000"/>
          <w:sz w:val="21"/>
          <w:szCs w:val="21"/>
        </w:rPr>
        <w:t>, the National Economic and Social Development Plan</w:t>
      </w:r>
      <w:r>
        <w:rPr>
          <w:rFonts w:ascii="Verdana" w:hAnsi="Verdana" w:cstheme="minorHAnsi"/>
          <w:color w:val="000000"/>
          <w:sz w:val="21"/>
          <w:szCs w:val="21"/>
          <w:lang w:val="en-US"/>
        </w:rPr>
        <w:t xml:space="preserve"> (2013-2025)</w:t>
      </w:r>
      <w:r>
        <w:rPr>
          <w:rFonts w:ascii="Verdana" w:hAnsi="Verdana" w:cstheme="minorHAnsi"/>
          <w:color w:val="000000"/>
          <w:sz w:val="21"/>
          <w:szCs w:val="21"/>
        </w:rPr>
        <w:t xml:space="preserve">, the Global Biodiversity Framework Action Plan, the Nationally Determined Contribution (NDC) of 2015 plus updated/revised document of 2025, the National Climate Change Policy </w:t>
      </w:r>
      <w:r w:rsidR="004E356B">
        <w:rPr>
          <w:rFonts w:ascii="Verdana" w:hAnsi="Verdana" w:cstheme="minorHAnsi"/>
          <w:color w:val="000000"/>
          <w:sz w:val="21"/>
          <w:szCs w:val="21"/>
        </w:rPr>
        <w:t>(</w:t>
      </w:r>
      <w:r>
        <w:rPr>
          <w:rFonts w:ascii="Verdana" w:hAnsi="Verdana" w:cstheme="minorHAnsi"/>
          <w:color w:val="000000"/>
          <w:sz w:val="21"/>
          <w:szCs w:val="21"/>
        </w:rPr>
        <w:t>2019</w:t>
      </w:r>
      <w:r w:rsidR="004E356B">
        <w:rPr>
          <w:rFonts w:ascii="Verdana" w:hAnsi="Verdana" w:cstheme="minorHAnsi"/>
          <w:color w:val="000000"/>
          <w:sz w:val="21"/>
          <w:szCs w:val="21"/>
        </w:rPr>
        <w:t>)</w:t>
      </w:r>
      <w:r>
        <w:rPr>
          <w:rFonts w:ascii="Verdana" w:hAnsi="Verdana" w:cstheme="minorHAnsi"/>
          <w:color w:val="000000"/>
          <w:sz w:val="21"/>
          <w:szCs w:val="21"/>
        </w:rPr>
        <w:t xml:space="preserve">, the National Implementation Plan (NIP) for the Stockholm Convention on Persistent Organic Pollutants (POPs) </w:t>
      </w:r>
      <w:r w:rsidR="004E356B">
        <w:rPr>
          <w:rFonts w:ascii="Verdana" w:hAnsi="Verdana" w:cstheme="minorHAnsi"/>
          <w:color w:val="000000"/>
          <w:sz w:val="21"/>
          <w:szCs w:val="21"/>
        </w:rPr>
        <w:t>(</w:t>
      </w:r>
      <w:r>
        <w:rPr>
          <w:rFonts w:ascii="Verdana" w:hAnsi="Verdana" w:cstheme="minorHAnsi"/>
          <w:color w:val="000000"/>
          <w:sz w:val="21"/>
          <w:szCs w:val="21"/>
        </w:rPr>
        <w:t>2015</w:t>
      </w:r>
      <w:r w:rsidR="004E356B">
        <w:rPr>
          <w:rFonts w:ascii="Verdana" w:hAnsi="Verdana" w:cstheme="minorHAnsi"/>
          <w:color w:val="000000"/>
          <w:sz w:val="21"/>
          <w:szCs w:val="21"/>
        </w:rPr>
        <w:t>)</w:t>
      </w:r>
      <w:r>
        <w:rPr>
          <w:rFonts w:ascii="Verdana" w:hAnsi="Verdana" w:cstheme="minorHAnsi"/>
          <w:color w:val="000000"/>
          <w:sz w:val="21"/>
          <w:szCs w:val="21"/>
        </w:rPr>
        <w:t>,</w:t>
      </w:r>
      <w:r w:rsidR="004E356B">
        <w:rPr>
          <w:rFonts w:ascii="Verdana" w:hAnsi="Verdana" w:cstheme="minorHAnsi"/>
          <w:color w:val="000000"/>
          <w:sz w:val="21"/>
          <w:szCs w:val="21"/>
        </w:rPr>
        <w:t xml:space="preserve"> the</w:t>
      </w:r>
      <w:r>
        <w:rPr>
          <w:rFonts w:ascii="Verdana" w:hAnsi="Verdana" w:cstheme="minorHAnsi"/>
          <w:color w:val="000000"/>
          <w:sz w:val="21"/>
          <w:szCs w:val="21"/>
        </w:rPr>
        <w:t xml:space="preserve"> </w:t>
      </w:r>
      <w:r>
        <w:rPr>
          <w:rFonts w:ascii="Verdana" w:hAnsi="Verdana" w:cstheme="minorHAnsi"/>
          <w:color w:val="000000"/>
          <w:sz w:val="21"/>
          <w:szCs w:val="21"/>
          <w:lang w:val="en-US"/>
        </w:rPr>
        <w:t>National Ocean Policy (2018)</w:t>
      </w:r>
      <w:r>
        <w:rPr>
          <w:rFonts w:ascii="Verdana" w:hAnsi="Verdana" w:cstheme="minorHAnsi"/>
          <w:color w:val="000000"/>
          <w:sz w:val="21"/>
          <w:szCs w:val="21"/>
        </w:rPr>
        <w:t>and SVG’s nationally agreed commitments under relevant Multilateral Environmental Agreements.</w:t>
      </w:r>
    </w:p>
    <w:p w14:paraId="6703E5B2" w14:textId="77777777" w:rsidR="00B71340" w:rsidRDefault="00000000">
      <w:pPr>
        <w:pStyle w:val="ListParagraph"/>
        <w:numPr>
          <w:ilvl w:val="1"/>
          <w:numId w:val="1"/>
        </w:numPr>
        <w:tabs>
          <w:tab w:val="left" w:pos="1940"/>
        </w:tabs>
        <w:spacing w:line="240" w:lineRule="auto"/>
        <w:rPr>
          <w:rFonts w:ascii="Verdana" w:hAnsi="Verdana" w:cstheme="minorHAnsi"/>
          <w:color w:val="000000"/>
          <w:sz w:val="21"/>
          <w:szCs w:val="21"/>
        </w:rPr>
      </w:pPr>
      <w:r>
        <w:rPr>
          <w:rFonts w:ascii="Verdana" w:hAnsi="Verdana" w:cstheme="minorHAnsi"/>
          <w:color w:val="000000"/>
          <w:sz w:val="21"/>
          <w:szCs w:val="21"/>
        </w:rPr>
        <w:t>Analyze previous phases of GEF-SGP implementation in SVG, identifying key achievements, gaps, and lessons learned to inform and strengthen the strategic direction of the CPS.</w:t>
      </w:r>
    </w:p>
    <w:p w14:paraId="6703E5B3" w14:textId="77777777" w:rsidR="00B71340" w:rsidRDefault="00000000">
      <w:pPr>
        <w:pStyle w:val="ListParagraph"/>
        <w:numPr>
          <w:ilvl w:val="1"/>
          <w:numId w:val="1"/>
        </w:numPr>
        <w:tabs>
          <w:tab w:val="left" w:pos="1940"/>
        </w:tabs>
        <w:spacing w:line="240" w:lineRule="auto"/>
        <w:rPr>
          <w:rFonts w:ascii="Verdana" w:hAnsi="Verdana" w:cstheme="minorHAnsi"/>
          <w:color w:val="000000"/>
          <w:sz w:val="21"/>
          <w:szCs w:val="21"/>
        </w:rPr>
      </w:pPr>
      <w:r>
        <w:rPr>
          <w:rFonts w:ascii="Verdana" w:hAnsi="Verdana" w:cstheme="minorHAnsi"/>
          <w:color w:val="000000"/>
          <w:sz w:val="21"/>
          <w:szCs w:val="21"/>
        </w:rPr>
        <w:t>Conduct a threat analysis to identify threatened ecosystems and species that can benefit from SGP grants, including Key Biodiversity Areas (KBAs).</w:t>
      </w:r>
    </w:p>
    <w:p w14:paraId="6703E5B4" w14:textId="77777777" w:rsidR="00B71340" w:rsidRDefault="00000000">
      <w:pPr>
        <w:pStyle w:val="ListParagraph"/>
        <w:numPr>
          <w:ilvl w:val="1"/>
          <w:numId w:val="1"/>
        </w:numPr>
        <w:tabs>
          <w:tab w:val="left" w:pos="1940"/>
        </w:tabs>
        <w:spacing w:line="240" w:lineRule="auto"/>
        <w:rPr>
          <w:rFonts w:ascii="Verdana" w:hAnsi="Verdana" w:cstheme="minorHAnsi"/>
          <w:color w:val="000000"/>
          <w:sz w:val="21"/>
          <w:szCs w:val="21"/>
        </w:rPr>
      </w:pPr>
      <w:r>
        <w:rPr>
          <w:rFonts w:ascii="Verdana" w:hAnsi="Verdana" w:cstheme="minorHAnsi"/>
          <w:color w:val="000000"/>
          <w:sz w:val="21"/>
          <w:szCs w:val="21"/>
        </w:rPr>
        <w:t>Review socio-economic and governance contexts affecting local conservation, development and livelihood actions.</w:t>
      </w:r>
    </w:p>
    <w:p w14:paraId="6703E5B5" w14:textId="77777777" w:rsidR="00B71340" w:rsidRDefault="00000000">
      <w:pPr>
        <w:pStyle w:val="ListParagraph"/>
        <w:numPr>
          <w:ilvl w:val="1"/>
          <w:numId w:val="1"/>
        </w:numPr>
        <w:tabs>
          <w:tab w:val="left" w:pos="1940"/>
        </w:tabs>
        <w:spacing w:line="240" w:lineRule="auto"/>
        <w:rPr>
          <w:rFonts w:ascii="Verdana" w:hAnsi="Verdana" w:cstheme="minorHAnsi"/>
          <w:color w:val="000000"/>
          <w:sz w:val="21"/>
          <w:szCs w:val="21"/>
        </w:rPr>
      </w:pPr>
      <w:r>
        <w:rPr>
          <w:rFonts w:ascii="Verdana" w:hAnsi="Verdana" w:cstheme="minorHAnsi"/>
          <w:color w:val="000000"/>
          <w:sz w:val="21"/>
          <w:szCs w:val="21"/>
          <w:lang w:val="en-US"/>
        </w:rPr>
        <w:t xml:space="preserve">Identify and conduct an aptitude assessment of the existing CSOs, CBOs and NGOs. </w:t>
      </w:r>
    </w:p>
    <w:p w14:paraId="6703E5B7" w14:textId="77777777" w:rsidR="00B71340" w:rsidRDefault="00000000">
      <w:pPr>
        <w:tabs>
          <w:tab w:val="left" w:pos="1940"/>
        </w:tabs>
        <w:spacing w:line="240" w:lineRule="auto"/>
        <w:rPr>
          <w:rFonts w:ascii="Verdana" w:hAnsi="Verdana" w:cs="Arial"/>
          <w:sz w:val="21"/>
          <w:szCs w:val="21"/>
          <w:lang w:val="en-GB"/>
        </w:rPr>
      </w:pPr>
      <w:r>
        <w:rPr>
          <w:rFonts w:ascii="Verdana" w:hAnsi="Verdana" w:cs="Arial"/>
          <w:b/>
          <w:bCs/>
          <w:sz w:val="21"/>
          <w:szCs w:val="21"/>
          <w:lang w:val="en-GB"/>
        </w:rPr>
        <w:t>Step 2: Stakeholder identification and mapping</w:t>
      </w:r>
    </w:p>
    <w:p w14:paraId="6703E5B8" w14:textId="77777777" w:rsidR="00B71340" w:rsidRDefault="00000000">
      <w:pPr>
        <w:spacing w:after="160" w:line="240" w:lineRule="auto"/>
        <w:rPr>
          <w:rFonts w:ascii="Verdana" w:hAnsi="Verdana" w:cs="Arial"/>
          <w:sz w:val="21"/>
          <w:szCs w:val="21"/>
        </w:rPr>
      </w:pPr>
      <w:r>
        <w:rPr>
          <w:rFonts w:ascii="Verdana" w:hAnsi="Verdana" w:cs="Arial"/>
          <w:sz w:val="21"/>
          <w:szCs w:val="21"/>
        </w:rPr>
        <w:t xml:space="preserve">To formally launch the CPS preparation process and identify key stakeholders who will inform and contribute to the strategy, an inception meeting shall be organized with CEPF and the Sustainable Development Unit to define roles, responsibilities, and expectations. As part of this process, relevant stakeholders will be mapped, including government agencies, </w:t>
      </w:r>
      <w:r>
        <w:rPr>
          <w:rFonts w:ascii="Verdana" w:hAnsi="Verdana" w:cstheme="minorHAnsi"/>
          <w:color w:val="000000"/>
          <w:sz w:val="21"/>
          <w:szCs w:val="21"/>
        </w:rPr>
        <w:t>academic and research institutions, civil society organizations</w:t>
      </w:r>
      <w:r>
        <w:rPr>
          <w:rFonts w:ascii="Verdana" w:hAnsi="Verdana" w:cstheme="minorHAnsi"/>
          <w:color w:val="000000"/>
          <w:sz w:val="21"/>
          <w:szCs w:val="21"/>
        </w:rPr>
        <w:t>, Private Sector</w:t>
      </w:r>
      <w:r>
        <w:rPr>
          <w:rFonts w:ascii="Verdana" w:hAnsi="Verdana" w:cstheme="minorHAnsi"/>
          <w:color w:val="000000"/>
          <w:sz w:val="21"/>
          <w:szCs w:val="21"/>
        </w:rPr>
        <w:t xml:space="preserve"> and representatives of local </w:t>
      </w:r>
      <w:r>
        <w:rPr>
          <w:rFonts w:ascii="Verdana" w:hAnsi="Verdana" w:cs="Arial"/>
          <w:sz w:val="21"/>
          <w:szCs w:val="21"/>
        </w:rPr>
        <w:t>communities.</w:t>
      </w:r>
    </w:p>
    <w:p w14:paraId="6703E5B9" w14:textId="77777777" w:rsidR="00B71340" w:rsidRDefault="00000000">
      <w:pPr>
        <w:spacing w:after="160" w:line="240" w:lineRule="auto"/>
        <w:rPr>
          <w:rFonts w:ascii="Verdana" w:hAnsi="Verdana" w:cs="Arial"/>
          <w:sz w:val="21"/>
          <w:szCs w:val="21"/>
        </w:rPr>
      </w:pPr>
      <w:r>
        <w:rPr>
          <w:rFonts w:ascii="Verdana" w:hAnsi="Verdana" w:cstheme="minorHAnsi"/>
          <w:color w:val="000000"/>
          <w:sz w:val="21"/>
          <w:szCs w:val="21"/>
        </w:rPr>
        <w:t>This step includes the following activities:</w:t>
      </w:r>
    </w:p>
    <w:p w14:paraId="6703E5BA" w14:textId="77777777" w:rsidR="00B71340" w:rsidRDefault="00000000">
      <w:pPr>
        <w:pStyle w:val="ListParagraph"/>
        <w:numPr>
          <w:ilvl w:val="1"/>
          <w:numId w:val="2"/>
        </w:numPr>
        <w:spacing w:line="240" w:lineRule="auto"/>
        <w:ind w:left="720" w:hanging="720"/>
        <w:rPr>
          <w:rFonts w:ascii="Verdana" w:hAnsi="Verdana" w:cs="Arial"/>
          <w:sz w:val="21"/>
          <w:szCs w:val="21"/>
        </w:rPr>
      </w:pPr>
      <w:r>
        <w:rPr>
          <w:rFonts w:ascii="Verdana" w:hAnsi="Verdana" w:cs="Arial"/>
          <w:sz w:val="21"/>
          <w:szCs w:val="21"/>
        </w:rPr>
        <w:t>Classify stakeholders based on their relevance, interest and influence.</w:t>
      </w:r>
    </w:p>
    <w:p w14:paraId="6703E5BB" w14:textId="77777777" w:rsidR="00B71340" w:rsidRDefault="00000000">
      <w:pPr>
        <w:pStyle w:val="ListParagraph"/>
        <w:numPr>
          <w:ilvl w:val="1"/>
          <w:numId w:val="2"/>
        </w:numPr>
        <w:spacing w:line="240" w:lineRule="auto"/>
        <w:ind w:left="720" w:hanging="720"/>
        <w:rPr>
          <w:rFonts w:ascii="Verdana" w:hAnsi="Verdana" w:cs="Arial"/>
          <w:sz w:val="21"/>
          <w:szCs w:val="21"/>
        </w:rPr>
      </w:pPr>
      <w:r>
        <w:rPr>
          <w:rFonts w:ascii="Verdana" w:hAnsi="Verdana" w:cs="Arial"/>
          <w:sz w:val="21"/>
          <w:szCs w:val="21"/>
        </w:rPr>
        <w:t xml:space="preserve">Develop a stakeholder engagement and communication </w:t>
      </w:r>
      <w:r>
        <w:rPr>
          <w:rFonts w:ascii="Verdana" w:hAnsi="Verdana" w:cs="Arial"/>
          <w:sz w:val="21"/>
          <w:szCs w:val="21"/>
          <w:lang w:val="en-US"/>
        </w:rPr>
        <w:t xml:space="preserve">strategy and </w:t>
      </w:r>
      <w:r>
        <w:rPr>
          <w:rFonts w:ascii="Verdana" w:hAnsi="Verdana" w:cs="Arial"/>
          <w:sz w:val="21"/>
          <w:szCs w:val="21"/>
        </w:rPr>
        <w:t xml:space="preserve">plan, incorporating a Grievance Redress Mechanism aligned with the </w:t>
      </w:r>
      <w:hyperlink r:id="rId8" w:history="1">
        <w:r>
          <w:rPr>
            <w:rStyle w:val="Hyperlink"/>
            <w:rFonts w:ascii="Verdana" w:hAnsi="Verdana" w:cs="Arial"/>
            <w:sz w:val="21"/>
            <w:szCs w:val="21"/>
          </w:rPr>
          <w:t>CEPF Environmental and Social Management Framework</w:t>
        </w:r>
      </w:hyperlink>
      <w:r>
        <w:rPr>
          <w:rFonts w:ascii="Verdana" w:hAnsi="Verdana" w:cs="Arial"/>
          <w:sz w:val="21"/>
          <w:szCs w:val="21"/>
        </w:rPr>
        <w:t>.</w:t>
      </w:r>
    </w:p>
    <w:p w14:paraId="6703E5BC" w14:textId="77777777" w:rsidR="00B71340" w:rsidRDefault="00000000">
      <w:pPr>
        <w:tabs>
          <w:tab w:val="left" w:pos="1940"/>
        </w:tabs>
        <w:spacing w:line="240" w:lineRule="auto"/>
        <w:rPr>
          <w:rFonts w:ascii="Verdana" w:hAnsi="Verdana" w:cs="Arial"/>
          <w:sz w:val="21"/>
          <w:szCs w:val="21"/>
          <w:lang w:val="en-GB"/>
        </w:rPr>
      </w:pPr>
      <w:r>
        <w:rPr>
          <w:rFonts w:ascii="Verdana" w:hAnsi="Verdana" w:cs="Arial"/>
          <w:b/>
          <w:bCs/>
          <w:sz w:val="21"/>
          <w:szCs w:val="21"/>
          <w:lang w:val="en-GB"/>
        </w:rPr>
        <w:t>Step 3: Inclusive consultation process</w:t>
      </w:r>
    </w:p>
    <w:p w14:paraId="6703E5BD" w14:textId="77777777" w:rsidR="00B71340" w:rsidRDefault="00000000">
      <w:pPr>
        <w:spacing w:after="160" w:line="240" w:lineRule="auto"/>
        <w:rPr>
          <w:rFonts w:ascii="Verdana" w:hAnsi="Verdana" w:cs="Arial"/>
          <w:sz w:val="21"/>
          <w:szCs w:val="21"/>
        </w:rPr>
      </w:pPr>
      <w:r>
        <w:rPr>
          <w:rFonts w:ascii="Verdana" w:hAnsi="Verdana" w:cs="Arial"/>
          <w:sz w:val="21"/>
          <w:szCs w:val="21"/>
        </w:rPr>
        <w:t>Inclusive consultations shall be conducted to ensure that the CPS preparation process is transparent, participatory and reflective of diverse perspectives particularly those of marginalized and underrepresented groups, while also identifying synergies with ongoing projects within the landscape. The consultant will be required to be physically present in SVG to undertake the consultations in person.</w:t>
      </w:r>
    </w:p>
    <w:p w14:paraId="6703E5BE" w14:textId="77777777" w:rsidR="00B71340" w:rsidRDefault="00000000">
      <w:pPr>
        <w:keepNext/>
        <w:spacing w:after="160" w:line="240" w:lineRule="auto"/>
        <w:rPr>
          <w:rFonts w:ascii="Verdana" w:hAnsi="Verdana" w:cs="Arial"/>
        </w:rPr>
      </w:pPr>
      <w:r>
        <w:rPr>
          <w:rFonts w:ascii="Verdana" w:hAnsi="Verdana" w:cstheme="minorHAnsi"/>
          <w:color w:val="000000"/>
          <w:sz w:val="21"/>
          <w:szCs w:val="21"/>
        </w:rPr>
        <w:t>This step includes the following activities:</w:t>
      </w:r>
    </w:p>
    <w:p w14:paraId="6703E5BF" w14:textId="77777777" w:rsidR="00B71340" w:rsidRDefault="00000000">
      <w:pPr>
        <w:pStyle w:val="ListParagraph"/>
        <w:numPr>
          <w:ilvl w:val="1"/>
          <w:numId w:val="3"/>
        </w:numPr>
        <w:spacing w:line="240" w:lineRule="auto"/>
        <w:ind w:left="720" w:hanging="720"/>
        <w:rPr>
          <w:rFonts w:ascii="Verdana" w:hAnsi="Verdana" w:cstheme="minorHAnsi"/>
          <w:sz w:val="21"/>
          <w:szCs w:val="21"/>
        </w:rPr>
      </w:pPr>
      <w:r>
        <w:rPr>
          <w:rFonts w:ascii="Verdana" w:hAnsi="Verdana" w:cstheme="minorHAnsi"/>
          <w:sz w:val="21"/>
          <w:szCs w:val="21"/>
        </w:rPr>
        <w:t>Conduct national and subnational consultations, including surveys, focus group discussions and multi-stakeholder</w:t>
      </w:r>
      <w:r>
        <w:rPr>
          <w:rFonts w:ascii="Verdana" w:hAnsi="Verdana" w:cstheme="minorHAnsi"/>
          <w:sz w:val="21"/>
          <w:szCs w:val="21"/>
          <w:lang w:val="en-US"/>
        </w:rPr>
        <w:t>, gender responsive</w:t>
      </w:r>
      <w:r>
        <w:rPr>
          <w:rFonts w:ascii="Verdana" w:hAnsi="Verdana" w:cstheme="minorHAnsi"/>
          <w:sz w:val="21"/>
          <w:szCs w:val="21"/>
        </w:rPr>
        <w:t xml:space="preserve"> workshops, to ensure broad and inclusive representation of key stakeholder groups. These </w:t>
      </w:r>
      <w:r>
        <w:rPr>
          <w:rFonts w:ascii="Verdana" w:hAnsi="Verdana" w:cstheme="minorHAnsi"/>
          <w:sz w:val="21"/>
          <w:szCs w:val="21"/>
        </w:rPr>
        <w:lastRenderedPageBreak/>
        <w:t>consultations should engage key government staff, experts, rightsholders, local communities, and marginalized and vulnerable groups.</w:t>
      </w:r>
    </w:p>
    <w:p w14:paraId="6703E5C0" w14:textId="77777777" w:rsidR="00B71340" w:rsidRDefault="00000000">
      <w:pPr>
        <w:pStyle w:val="ListParagraph"/>
        <w:numPr>
          <w:ilvl w:val="1"/>
          <w:numId w:val="3"/>
        </w:numPr>
        <w:spacing w:line="240" w:lineRule="auto"/>
        <w:ind w:left="720" w:hanging="720"/>
        <w:rPr>
          <w:rFonts w:ascii="Verdana" w:hAnsi="Verdana" w:cstheme="minorHAnsi"/>
          <w:sz w:val="21"/>
          <w:szCs w:val="21"/>
        </w:rPr>
      </w:pPr>
      <w:r>
        <w:rPr>
          <w:rFonts w:ascii="Verdana" w:hAnsi="Verdana" w:cstheme="minorHAnsi"/>
          <w:sz w:val="21"/>
          <w:szCs w:val="21"/>
        </w:rPr>
        <w:t>Coordinate with existing civil society networks or platforms for outreach and facilitation.</w:t>
      </w:r>
    </w:p>
    <w:p w14:paraId="6703E5C1" w14:textId="77777777" w:rsidR="00B71340" w:rsidRDefault="00000000">
      <w:pPr>
        <w:pStyle w:val="ListParagraph"/>
        <w:numPr>
          <w:ilvl w:val="1"/>
          <w:numId w:val="3"/>
        </w:numPr>
        <w:spacing w:line="240" w:lineRule="auto"/>
        <w:ind w:left="720" w:hanging="720"/>
        <w:rPr>
          <w:rFonts w:ascii="Verdana" w:hAnsi="Verdana" w:cstheme="minorHAnsi"/>
          <w:sz w:val="21"/>
          <w:szCs w:val="21"/>
        </w:rPr>
      </w:pPr>
      <w:r>
        <w:rPr>
          <w:rFonts w:ascii="Verdana" w:hAnsi="Verdana" w:cstheme="minorHAnsi"/>
          <w:sz w:val="21"/>
          <w:szCs w:val="21"/>
        </w:rPr>
        <w:t>Document priority themes, geographic areas, capacity needs and strategic opportunities identified by stakeholders.</w:t>
      </w:r>
    </w:p>
    <w:p w14:paraId="6703E5C2" w14:textId="77777777" w:rsidR="00B71340" w:rsidRDefault="00000000">
      <w:pPr>
        <w:pStyle w:val="ListParagraph"/>
        <w:numPr>
          <w:ilvl w:val="1"/>
          <w:numId w:val="3"/>
        </w:numPr>
        <w:spacing w:line="240" w:lineRule="auto"/>
        <w:ind w:left="720" w:hanging="720"/>
        <w:rPr>
          <w:rFonts w:ascii="Verdana" w:hAnsi="Verdana" w:cstheme="minorHAnsi"/>
          <w:sz w:val="21"/>
          <w:szCs w:val="21"/>
        </w:rPr>
      </w:pPr>
      <w:r>
        <w:rPr>
          <w:rFonts w:ascii="Verdana" w:hAnsi="Verdana" w:cstheme="minorHAnsi"/>
          <w:sz w:val="21"/>
          <w:szCs w:val="21"/>
        </w:rPr>
        <w:t>Facilitate structured discussions on: local conservation and livelihood needs; gaps in capacity, financing or policy support; and opportunities for collaboration and scaling.</w:t>
      </w:r>
    </w:p>
    <w:p w14:paraId="6703E5C3" w14:textId="77777777" w:rsidR="00B71340" w:rsidRDefault="00B71340">
      <w:pPr>
        <w:pStyle w:val="ListParagraph"/>
        <w:spacing w:after="0" w:line="240" w:lineRule="auto"/>
        <w:ind w:left="360"/>
        <w:rPr>
          <w:rFonts w:ascii="Verdana" w:hAnsi="Verdana" w:cstheme="minorHAnsi"/>
          <w:sz w:val="21"/>
          <w:szCs w:val="21"/>
        </w:rPr>
      </w:pPr>
    </w:p>
    <w:p w14:paraId="6703E5C4" w14:textId="77777777" w:rsidR="00B71340" w:rsidRDefault="00000000">
      <w:pPr>
        <w:keepNext/>
        <w:tabs>
          <w:tab w:val="left" w:pos="1940"/>
        </w:tabs>
        <w:spacing w:line="240" w:lineRule="auto"/>
        <w:rPr>
          <w:rFonts w:ascii="Verdana" w:hAnsi="Verdana" w:cs="Arial"/>
          <w:sz w:val="21"/>
          <w:szCs w:val="21"/>
          <w:lang w:val="en-GB"/>
        </w:rPr>
      </w:pPr>
      <w:r>
        <w:rPr>
          <w:rFonts w:ascii="Verdana" w:hAnsi="Verdana" w:cs="Arial"/>
          <w:b/>
          <w:bCs/>
          <w:sz w:val="21"/>
          <w:szCs w:val="21"/>
          <w:lang w:val="en-GB"/>
        </w:rPr>
        <w:t>Step 4:</w:t>
      </w:r>
      <w:r>
        <w:rPr>
          <w:rFonts w:ascii="Verdana" w:hAnsi="Verdana" w:cs="Arial"/>
          <w:sz w:val="21"/>
          <w:szCs w:val="21"/>
        </w:rPr>
        <w:t xml:space="preserve"> </w:t>
      </w:r>
      <w:r>
        <w:rPr>
          <w:rFonts w:ascii="Verdana" w:hAnsi="Verdana" w:cs="Arial"/>
          <w:b/>
          <w:bCs/>
          <w:sz w:val="21"/>
          <w:szCs w:val="21"/>
          <w:lang w:val="en-GB"/>
        </w:rPr>
        <w:t>Drafting of strategy</w:t>
      </w:r>
    </w:p>
    <w:p w14:paraId="6703E5C5" w14:textId="77777777" w:rsidR="00B71340" w:rsidRDefault="00000000">
      <w:pPr>
        <w:tabs>
          <w:tab w:val="left" w:pos="1940"/>
        </w:tabs>
        <w:spacing w:line="240" w:lineRule="auto"/>
        <w:rPr>
          <w:rFonts w:ascii="Verdana" w:hAnsi="Verdana" w:cs="Arial"/>
          <w:sz w:val="21"/>
          <w:szCs w:val="21"/>
        </w:rPr>
      </w:pPr>
      <w:r>
        <w:rPr>
          <w:rFonts w:ascii="Verdana" w:hAnsi="Verdana" w:cs="Arial"/>
          <w:sz w:val="21"/>
          <w:szCs w:val="21"/>
        </w:rPr>
        <w:t xml:space="preserve">The CPS shall serve as a coherent and inclusive framework that integrates technical expertise with stakeholder feedback to guide implementation of the SGP in SVG under GEF OP8. </w:t>
      </w:r>
    </w:p>
    <w:p w14:paraId="6703E5C6" w14:textId="77777777" w:rsidR="00B71340" w:rsidRDefault="00000000">
      <w:pPr>
        <w:tabs>
          <w:tab w:val="left" w:pos="1940"/>
        </w:tabs>
        <w:spacing w:line="240" w:lineRule="auto"/>
        <w:rPr>
          <w:rFonts w:ascii="Verdana" w:hAnsi="Verdana" w:cs="Arial"/>
          <w:sz w:val="21"/>
          <w:szCs w:val="21"/>
        </w:rPr>
      </w:pPr>
      <w:r>
        <w:rPr>
          <w:rFonts w:ascii="Verdana" w:hAnsi="Verdana" w:cs="Arial"/>
          <w:sz w:val="21"/>
          <w:szCs w:val="21"/>
        </w:rPr>
        <w:t>This step involves the following activities:</w:t>
      </w:r>
    </w:p>
    <w:p w14:paraId="6703E5C7" w14:textId="77777777" w:rsidR="00B71340" w:rsidRDefault="00000000">
      <w:pPr>
        <w:tabs>
          <w:tab w:val="left" w:pos="1940"/>
        </w:tabs>
        <w:spacing w:after="0" w:line="240" w:lineRule="auto"/>
        <w:ind w:left="720" w:hanging="720"/>
        <w:rPr>
          <w:rFonts w:ascii="Verdana" w:hAnsi="Verdana" w:cs="Arial"/>
          <w:sz w:val="21"/>
          <w:szCs w:val="21"/>
        </w:rPr>
      </w:pPr>
      <w:r>
        <w:rPr>
          <w:rFonts w:ascii="Verdana" w:hAnsi="Verdana" w:cs="Arial"/>
          <w:sz w:val="21"/>
          <w:szCs w:val="21"/>
        </w:rPr>
        <w:t>4.1</w:t>
      </w:r>
      <w:r>
        <w:rPr>
          <w:rFonts w:ascii="Verdana" w:hAnsi="Verdana" w:cs="Arial"/>
          <w:sz w:val="21"/>
          <w:szCs w:val="21"/>
        </w:rPr>
        <w:tab/>
        <w:t>Structure the CPS to clearly articulate strategic objectives and thematic priorities to effectively deliver the SPG.</w:t>
      </w:r>
    </w:p>
    <w:p w14:paraId="6703E5C9" w14:textId="0605AB83" w:rsidR="00B71340" w:rsidRDefault="00000000" w:rsidP="000B4BA4">
      <w:pPr>
        <w:tabs>
          <w:tab w:val="left" w:pos="1940"/>
        </w:tabs>
        <w:spacing w:after="0" w:line="240" w:lineRule="auto"/>
        <w:ind w:left="720" w:hanging="720"/>
        <w:rPr>
          <w:rFonts w:ascii="Verdana" w:hAnsi="Verdana" w:cs="Arial"/>
          <w:sz w:val="21"/>
          <w:szCs w:val="21"/>
        </w:rPr>
      </w:pPr>
      <w:r>
        <w:rPr>
          <w:rFonts w:ascii="Verdana" w:hAnsi="Verdana" w:cs="Arial"/>
          <w:sz w:val="21"/>
          <w:szCs w:val="21"/>
        </w:rPr>
        <w:t>4.2</w:t>
      </w:r>
      <w:r>
        <w:rPr>
          <w:rFonts w:ascii="Verdana" w:hAnsi="Verdana" w:cs="Arial"/>
          <w:sz w:val="21"/>
          <w:szCs w:val="21"/>
        </w:rPr>
        <w:tab/>
        <w:t>Identify priority geographic areas, with equitable representation of Saint Vincent island and the islands of the Grenadines.</w:t>
      </w:r>
    </w:p>
    <w:p w14:paraId="6703E5CA" w14:textId="77777777" w:rsidR="00B71340" w:rsidRDefault="00B71340">
      <w:pPr>
        <w:tabs>
          <w:tab w:val="left" w:pos="1940"/>
        </w:tabs>
        <w:spacing w:after="0" w:line="240" w:lineRule="auto"/>
        <w:ind w:left="720" w:hanging="720"/>
        <w:rPr>
          <w:rFonts w:ascii="Verdana" w:hAnsi="Verdana" w:cs="Arial"/>
          <w:sz w:val="21"/>
          <w:szCs w:val="21"/>
        </w:rPr>
      </w:pPr>
    </w:p>
    <w:p w14:paraId="6703E5CB" w14:textId="77777777" w:rsidR="00B71340" w:rsidRDefault="00000000">
      <w:pPr>
        <w:tabs>
          <w:tab w:val="left" w:pos="1940"/>
        </w:tabs>
        <w:spacing w:line="240" w:lineRule="auto"/>
        <w:rPr>
          <w:rFonts w:ascii="Verdana" w:hAnsi="Verdana" w:cs="Arial"/>
          <w:sz w:val="21"/>
          <w:szCs w:val="21"/>
          <w:lang w:val="en-GB"/>
        </w:rPr>
      </w:pPr>
      <w:r>
        <w:rPr>
          <w:rFonts w:ascii="Verdana" w:hAnsi="Verdana" w:cs="Arial"/>
          <w:b/>
          <w:bCs/>
          <w:sz w:val="21"/>
          <w:szCs w:val="21"/>
          <w:lang w:val="en-GB"/>
        </w:rPr>
        <w:t>Step 5:</w:t>
      </w:r>
      <w:r>
        <w:rPr>
          <w:rFonts w:ascii="Verdana" w:hAnsi="Verdana" w:cs="Arial"/>
          <w:sz w:val="21"/>
          <w:szCs w:val="21"/>
        </w:rPr>
        <w:t xml:space="preserve"> </w:t>
      </w:r>
      <w:r>
        <w:rPr>
          <w:rFonts w:ascii="Verdana" w:hAnsi="Verdana" w:cs="Arial"/>
          <w:b/>
          <w:bCs/>
          <w:sz w:val="21"/>
          <w:szCs w:val="21"/>
          <w:lang w:val="en-GB"/>
        </w:rPr>
        <w:t>Validation and finalization</w:t>
      </w:r>
    </w:p>
    <w:p w14:paraId="6703E5CC" w14:textId="77777777" w:rsidR="00B71340" w:rsidRDefault="00000000">
      <w:pPr>
        <w:tabs>
          <w:tab w:val="left" w:pos="1940"/>
        </w:tabs>
        <w:spacing w:line="240" w:lineRule="auto"/>
        <w:rPr>
          <w:rFonts w:ascii="Verdana" w:hAnsi="Verdana" w:cs="Arial"/>
          <w:sz w:val="21"/>
          <w:szCs w:val="21"/>
        </w:rPr>
      </w:pPr>
      <w:r>
        <w:rPr>
          <w:rFonts w:ascii="Verdana" w:hAnsi="Verdana" w:cs="Arial"/>
          <w:sz w:val="21"/>
          <w:szCs w:val="21"/>
        </w:rPr>
        <w:t>The validation and finalization phase is to ensure stakeholder ownership, accuracy and consensus before the CPS is finalized. This process begins by inviting comments and suggestions to refine and strengthen the document. This can be done through online or in-person consultations but must include a national validation workshop, for which the consultant will need to be physically present. This workshop will be chaired by the GEF Operational Focal Point and involve a broad range of local stakeholders to review and endorse the strategy. Feedback from this consultative process will be systematically incorporated to finalize a CPS that is technically sound, contextually relevant and collectively owned.</w:t>
      </w:r>
    </w:p>
    <w:p w14:paraId="6703E5CD" w14:textId="3E8E2559" w:rsidR="00B71340" w:rsidRDefault="00000000">
      <w:pPr>
        <w:tabs>
          <w:tab w:val="left" w:pos="1940"/>
        </w:tabs>
        <w:spacing w:line="240" w:lineRule="auto"/>
        <w:rPr>
          <w:rFonts w:ascii="Verdana" w:hAnsi="Verdana" w:cs="Arial"/>
          <w:sz w:val="21"/>
          <w:szCs w:val="21"/>
          <w:lang w:val="en-GB"/>
        </w:rPr>
      </w:pPr>
      <w:r>
        <w:rPr>
          <w:rFonts w:ascii="Verdana" w:hAnsi="Verdana" w:cs="Arial"/>
          <w:sz w:val="21"/>
          <w:szCs w:val="21"/>
          <w:lang w:val="en-GB"/>
        </w:rPr>
        <w:t>Based on the above steps and once the validation has been completed, the draft GEF-SGP CPS under OP8 will be shared for review by CEPF and the Sustainable Development Unit. Any comments will be considered and addressed in the final draft, which will then be</w:t>
      </w:r>
      <w:r w:rsidR="000B4BA4">
        <w:rPr>
          <w:rFonts w:ascii="Verdana" w:hAnsi="Verdana" w:cs="Arial"/>
          <w:sz w:val="21"/>
          <w:szCs w:val="21"/>
          <w:lang w:val="en-GB"/>
        </w:rPr>
        <w:t xml:space="preserve"> submitted to Cabinet for approval, before being</w:t>
      </w:r>
      <w:r>
        <w:rPr>
          <w:rFonts w:ascii="Verdana" w:hAnsi="Verdana" w:cs="Arial"/>
          <w:sz w:val="21"/>
          <w:szCs w:val="21"/>
          <w:lang w:val="en-GB"/>
        </w:rPr>
        <w:t xml:space="preserve"> widely shared and posted online for public information.</w:t>
      </w:r>
    </w:p>
    <w:p w14:paraId="7005D119" w14:textId="77777777" w:rsidR="000B4BA4" w:rsidRDefault="000B4BA4">
      <w:pPr>
        <w:tabs>
          <w:tab w:val="left" w:pos="1940"/>
        </w:tabs>
        <w:spacing w:line="240" w:lineRule="auto"/>
        <w:rPr>
          <w:rFonts w:ascii="Verdana" w:hAnsi="Verdana" w:cs="Arial"/>
          <w:sz w:val="21"/>
          <w:szCs w:val="21"/>
          <w:lang w:val="en-GB"/>
        </w:rPr>
      </w:pPr>
    </w:p>
    <w:p w14:paraId="6703E5CE" w14:textId="77777777" w:rsidR="00B71340" w:rsidRDefault="00000000">
      <w:pPr>
        <w:autoSpaceDE w:val="0"/>
        <w:autoSpaceDN w:val="0"/>
        <w:adjustRightInd w:val="0"/>
        <w:spacing w:after="160" w:line="240" w:lineRule="auto"/>
        <w:rPr>
          <w:rFonts w:ascii="Verdana" w:hAnsi="Verdana" w:cstheme="minorHAnsi"/>
          <w:b/>
          <w:bCs/>
          <w:color w:val="000000"/>
          <w:sz w:val="24"/>
          <w:szCs w:val="24"/>
        </w:rPr>
      </w:pPr>
      <w:r>
        <w:rPr>
          <w:rFonts w:ascii="Verdana" w:hAnsi="Verdana" w:cstheme="minorHAnsi"/>
          <w:b/>
          <w:bCs/>
          <w:color w:val="000000"/>
          <w:sz w:val="24"/>
          <w:szCs w:val="24"/>
        </w:rPr>
        <w:t>4) Expected deliverables</w:t>
      </w:r>
    </w:p>
    <w:p w14:paraId="6703E5CF" w14:textId="6C533565" w:rsidR="00B71340" w:rsidRDefault="00000000">
      <w:pPr>
        <w:numPr>
          <w:ilvl w:val="0"/>
          <w:numId w:val="4"/>
        </w:numPr>
        <w:tabs>
          <w:tab w:val="left" w:pos="1940"/>
        </w:tabs>
        <w:spacing w:line="240" w:lineRule="auto"/>
        <w:rPr>
          <w:rFonts w:ascii="Verdana" w:hAnsi="Verdana" w:cs="Arial"/>
          <w:sz w:val="21"/>
          <w:szCs w:val="21"/>
          <w:lang w:val="en-GB"/>
        </w:rPr>
      </w:pPr>
      <w:r>
        <w:rPr>
          <w:rFonts w:ascii="Verdana" w:hAnsi="Verdana" w:cs="Arial"/>
          <w:b/>
          <w:bCs/>
          <w:sz w:val="21"/>
          <w:szCs w:val="21"/>
          <w:lang w:val="en-GB"/>
        </w:rPr>
        <w:t>Stakeholder mapping</w:t>
      </w:r>
      <w:r>
        <w:rPr>
          <w:rFonts w:ascii="Verdana" w:hAnsi="Verdana" w:cs="Arial"/>
          <w:b/>
          <w:bCs/>
          <w:sz w:val="21"/>
          <w:szCs w:val="21"/>
        </w:rPr>
        <w:t xml:space="preserve">, capacity building and </w:t>
      </w:r>
      <w:r>
        <w:rPr>
          <w:rFonts w:ascii="Verdana" w:hAnsi="Verdana" w:cs="Arial"/>
          <w:b/>
          <w:bCs/>
          <w:sz w:val="21"/>
          <w:szCs w:val="21"/>
          <w:lang w:val="en-GB"/>
        </w:rPr>
        <w:t>engagement plan</w:t>
      </w:r>
      <w:r>
        <w:rPr>
          <w:rFonts w:ascii="Verdana" w:hAnsi="Verdana" w:cs="Arial"/>
          <w:sz w:val="21"/>
          <w:szCs w:val="21"/>
          <w:lang w:val="en-GB"/>
        </w:rPr>
        <w:t>: a categorized list of stakeholders, with an inclusive engagement strategy.</w:t>
      </w:r>
    </w:p>
    <w:p w14:paraId="6703E5D0" w14:textId="23E32F56" w:rsidR="00B71340" w:rsidRDefault="00000000">
      <w:pPr>
        <w:numPr>
          <w:ilvl w:val="0"/>
          <w:numId w:val="4"/>
        </w:numPr>
        <w:tabs>
          <w:tab w:val="left" w:pos="1940"/>
        </w:tabs>
        <w:spacing w:line="240" w:lineRule="auto"/>
        <w:rPr>
          <w:rFonts w:ascii="Verdana" w:hAnsi="Verdana" w:cs="Arial"/>
          <w:sz w:val="21"/>
          <w:szCs w:val="21"/>
          <w:lang w:val="en-GB"/>
        </w:rPr>
      </w:pPr>
      <w:r w:rsidRPr="00FC1646">
        <w:rPr>
          <w:rFonts w:ascii="Verdana" w:hAnsi="Verdana" w:cs="Arial"/>
          <w:b/>
          <w:bCs/>
          <w:sz w:val="21"/>
          <w:szCs w:val="21"/>
        </w:rPr>
        <w:t xml:space="preserve">Communication </w:t>
      </w:r>
      <w:r w:rsidR="000B4BA4" w:rsidRPr="00FC1646">
        <w:rPr>
          <w:rFonts w:ascii="Verdana" w:hAnsi="Verdana" w:cs="Arial"/>
          <w:b/>
          <w:bCs/>
          <w:sz w:val="21"/>
          <w:szCs w:val="21"/>
        </w:rPr>
        <w:t>s</w:t>
      </w:r>
      <w:r w:rsidRPr="00FC1646">
        <w:rPr>
          <w:rFonts w:ascii="Verdana" w:hAnsi="Verdana" w:cs="Arial"/>
          <w:b/>
          <w:bCs/>
          <w:sz w:val="21"/>
          <w:szCs w:val="21"/>
        </w:rPr>
        <w:t>trategy and plan</w:t>
      </w:r>
      <w:r w:rsidR="00FC1646">
        <w:rPr>
          <w:rFonts w:ascii="Verdana" w:hAnsi="Verdana" w:cs="Arial"/>
          <w:sz w:val="21"/>
          <w:szCs w:val="21"/>
        </w:rPr>
        <w:t>: incorporating a grievance mechanism.</w:t>
      </w:r>
    </w:p>
    <w:p w14:paraId="6703E5D1" w14:textId="77777777" w:rsidR="00B71340" w:rsidRDefault="00000000">
      <w:pPr>
        <w:numPr>
          <w:ilvl w:val="0"/>
          <w:numId w:val="4"/>
        </w:numPr>
        <w:tabs>
          <w:tab w:val="left" w:pos="1940"/>
        </w:tabs>
        <w:spacing w:line="240" w:lineRule="auto"/>
        <w:rPr>
          <w:rFonts w:ascii="Verdana" w:hAnsi="Verdana" w:cs="Arial"/>
          <w:sz w:val="21"/>
          <w:szCs w:val="21"/>
          <w:lang w:val="en-GB"/>
        </w:rPr>
      </w:pPr>
      <w:r>
        <w:rPr>
          <w:rFonts w:ascii="Verdana" w:hAnsi="Verdana" w:cs="Arial"/>
          <w:b/>
          <w:bCs/>
          <w:sz w:val="21"/>
          <w:szCs w:val="21"/>
          <w:lang w:val="en-GB"/>
        </w:rPr>
        <w:t>Situational and context analysis report</w:t>
      </w:r>
      <w:r>
        <w:rPr>
          <w:rFonts w:ascii="Verdana" w:hAnsi="Verdana" w:cs="Arial"/>
          <w:sz w:val="21"/>
          <w:szCs w:val="21"/>
          <w:lang w:val="en-GB"/>
        </w:rPr>
        <w:t>: a synthesis of environmental, social and institutional contexts informing the CPS.</w:t>
      </w:r>
    </w:p>
    <w:p w14:paraId="6703E5D2" w14:textId="77777777" w:rsidR="00B71340" w:rsidRDefault="00000000">
      <w:pPr>
        <w:numPr>
          <w:ilvl w:val="0"/>
          <w:numId w:val="4"/>
        </w:numPr>
        <w:tabs>
          <w:tab w:val="left" w:pos="1940"/>
        </w:tabs>
        <w:spacing w:line="240" w:lineRule="auto"/>
        <w:rPr>
          <w:rFonts w:ascii="Verdana" w:hAnsi="Verdana" w:cs="Arial"/>
          <w:sz w:val="21"/>
          <w:szCs w:val="21"/>
          <w:lang w:val="en-GB"/>
        </w:rPr>
      </w:pPr>
      <w:r>
        <w:rPr>
          <w:rFonts w:ascii="Verdana" w:hAnsi="Verdana" w:cs="Arial"/>
          <w:b/>
          <w:bCs/>
          <w:sz w:val="21"/>
          <w:szCs w:val="21"/>
          <w:lang w:val="en-GB"/>
        </w:rPr>
        <w:t>Consultation reports</w:t>
      </w:r>
      <w:r>
        <w:rPr>
          <w:rFonts w:ascii="Verdana" w:hAnsi="Verdana" w:cs="Arial"/>
          <w:sz w:val="21"/>
          <w:szCs w:val="21"/>
          <w:lang w:val="en-GB"/>
        </w:rPr>
        <w:t>: summary reports of consultation meetings, with summaries of stakeholder inputs and key themes.</w:t>
      </w:r>
    </w:p>
    <w:p w14:paraId="6703E5D3" w14:textId="77777777" w:rsidR="00B71340" w:rsidRDefault="00000000">
      <w:pPr>
        <w:numPr>
          <w:ilvl w:val="0"/>
          <w:numId w:val="4"/>
        </w:numPr>
        <w:tabs>
          <w:tab w:val="left" w:pos="1940"/>
        </w:tabs>
        <w:spacing w:line="240" w:lineRule="auto"/>
        <w:rPr>
          <w:rFonts w:ascii="Verdana" w:hAnsi="Verdana" w:cs="Arial"/>
          <w:sz w:val="21"/>
          <w:szCs w:val="21"/>
          <w:lang w:val="en-GB"/>
        </w:rPr>
      </w:pPr>
      <w:r>
        <w:rPr>
          <w:rFonts w:ascii="Verdana" w:hAnsi="Verdana" w:cs="Arial"/>
          <w:b/>
          <w:bCs/>
          <w:sz w:val="21"/>
          <w:szCs w:val="21"/>
          <w:lang w:val="en-GB"/>
        </w:rPr>
        <w:lastRenderedPageBreak/>
        <w:t>Draft CPS</w:t>
      </w:r>
      <w:r>
        <w:rPr>
          <w:rFonts w:ascii="Verdana" w:hAnsi="Verdana" w:cs="Arial"/>
          <w:sz w:val="21"/>
          <w:szCs w:val="21"/>
          <w:lang w:val="en-GB"/>
        </w:rPr>
        <w:t>: including thematic priorities, geographic focus, strategic framework, and targets (expressed in terms of expected contributions to the GEF Core Indicators).</w:t>
      </w:r>
    </w:p>
    <w:p w14:paraId="6703E5D4" w14:textId="77777777" w:rsidR="00B71340" w:rsidRDefault="00000000">
      <w:pPr>
        <w:numPr>
          <w:ilvl w:val="0"/>
          <w:numId w:val="4"/>
        </w:numPr>
        <w:tabs>
          <w:tab w:val="left" w:pos="1940"/>
        </w:tabs>
        <w:spacing w:line="240" w:lineRule="auto"/>
        <w:rPr>
          <w:rFonts w:ascii="Verdana" w:hAnsi="Verdana" w:cs="Arial"/>
          <w:sz w:val="21"/>
          <w:szCs w:val="21"/>
          <w:lang w:val="en-GB"/>
        </w:rPr>
      </w:pPr>
      <w:r>
        <w:rPr>
          <w:rFonts w:ascii="Verdana" w:hAnsi="Verdana" w:cs="Arial"/>
          <w:b/>
          <w:bCs/>
          <w:sz w:val="21"/>
          <w:szCs w:val="21"/>
          <w:lang w:val="en-GB"/>
        </w:rPr>
        <w:t>Summary document</w:t>
      </w:r>
      <w:r>
        <w:rPr>
          <w:rFonts w:ascii="Verdana" w:hAnsi="Verdana" w:cs="Arial"/>
          <w:sz w:val="21"/>
          <w:szCs w:val="21"/>
          <w:lang w:val="en-GB"/>
        </w:rPr>
        <w:t>: prepared for the GEF Operational Focal Point to support briefings to key policy makers, including the Permanent Secretary and the Minister of Tourism</w:t>
      </w:r>
      <w:r>
        <w:rPr>
          <w:rFonts w:ascii="Verdana" w:hAnsi="Verdana" w:cstheme="minorHAnsi"/>
          <w:color w:val="000000"/>
          <w:sz w:val="21"/>
          <w:szCs w:val="21"/>
        </w:rPr>
        <w:t xml:space="preserve">, Civil Aviation, and Sustainable Development </w:t>
      </w:r>
    </w:p>
    <w:p w14:paraId="6703E5D5" w14:textId="77777777" w:rsidR="00B71340" w:rsidRDefault="00000000">
      <w:pPr>
        <w:numPr>
          <w:ilvl w:val="0"/>
          <w:numId w:val="4"/>
        </w:numPr>
        <w:tabs>
          <w:tab w:val="left" w:pos="1940"/>
        </w:tabs>
        <w:spacing w:line="240" w:lineRule="auto"/>
        <w:rPr>
          <w:rFonts w:ascii="Verdana" w:hAnsi="Verdana" w:cs="Arial"/>
          <w:sz w:val="21"/>
          <w:szCs w:val="21"/>
          <w:lang w:val="en-GB"/>
        </w:rPr>
      </w:pPr>
      <w:r>
        <w:rPr>
          <w:rFonts w:ascii="Verdana" w:hAnsi="Verdana" w:cs="Arial"/>
          <w:b/>
          <w:bCs/>
          <w:sz w:val="21"/>
          <w:szCs w:val="21"/>
          <w:lang w:val="en-GB"/>
        </w:rPr>
        <w:t>Final CPS</w:t>
      </w:r>
      <w:r>
        <w:rPr>
          <w:rFonts w:ascii="Verdana" w:hAnsi="Verdana" w:cs="Arial"/>
          <w:sz w:val="21"/>
          <w:szCs w:val="21"/>
          <w:lang w:val="en-GB"/>
        </w:rPr>
        <w:t>: endorsed and ready for implementation.</w:t>
      </w:r>
    </w:p>
    <w:p w14:paraId="6703E5D6" w14:textId="77777777" w:rsidR="00B71340" w:rsidRDefault="00B71340" w:rsidP="001859DA">
      <w:pPr>
        <w:numPr>
          <w:ilvl w:val="255"/>
          <w:numId w:val="0"/>
        </w:numPr>
        <w:tabs>
          <w:tab w:val="left" w:pos="1940"/>
        </w:tabs>
        <w:spacing w:line="240" w:lineRule="auto"/>
        <w:rPr>
          <w:rFonts w:ascii="Verdana" w:hAnsi="Verdana" w:cs="Arial"/>
          <w:sz w:val="21"/>
          <w:szCs w:val="21"/>
          <w:lang w:val="en-GB"/>
        </w:rPr>
      </w:pPr>
    </w:p>
    <w:p w14:paraId="6703E5D7" w14:textId="77777777" w:rsidR="00B71340" w:rsidRDefault="00000000">
      <w:pPr>
        <w:keepNext/>
        <w:autoSpaceDE w:val="0"/>
        <w:autoSpaceDN w:val="0"/>
        <w:adjustRightInd w:val="0"/>
        <w:spacing w:after="160" w:line="240" w:lineRule="auto"/>
        <w:rPr>
          <w:rFonts w:ascii="Verdana" w:hAnsi="Verdana" w:cstheme="minorHAnsi"/>
          <w:b/>
          <w:bCs/>
          <w:color w:val="000000"/>
          <w:sz w:val="24"/>
          <w:szCs w:val="24"/>
        </w:rPr>
      </w:pPr>
      <w:r>
        <w:rPr>
          <w:rFonts w:ascii="Verdana" w:hAnsi="Verdana" w:cstheme="minorHAnsi"/>
          <w:b/>
          <w:bCs/>
          <w:color w:val="000000"/>
          <w:sz w:val="24"/>
          <w:szCs w:val="24"/>
        </w:rPr>
        <w:t>5) Budget</w:t>
      </w:r>
    </w:p>
    <w:p w14:paraId="6703E5D8" w14:textId="77777777" w:rsidR="00B71340" w:rsidRDefault="00000000">
      <w:pPr>
        <w:spacing w:after="160" w:line="240" w:lineRule="auto"/>
        <w:rPr>
          <w:rFonts w:ascii="Verdana" w:hAnsi="Verdana" w:cs="Arial"/>
          <w:sz w:val="21"/>
          <w:szCs w:val="21"/>
        </w:rPr>
      </w:pPr>
      <w:r>
        <w:rPr>
          <w:rFonts w:ascii="Verdana" w:hAnsi="Verdana" w:cs="Arial"/>
          <w:sz w:val="21"/>
          <w:szCs w:val="21"/>
        </w:rPr>
        <w:t xml:space="preserve">The total budget for the entire assignment will be limited to US$25,000, inclusive of staff costs and travel costs to attend workshops and stakeholder consultations. Any consultant based outside of SVG should plan to travel to the country three times: </w:t>
      </w:r>
    </w:p>
    <w:p w14:paraId="6703E5D9" w14:textId="77777777" w:rsidR="00B71340" w:rsidRDefault="00000000">
      <w:pPr>
        <w:spacing w:after="160" w:line="240" w:lineRule="auto"/>
        <w:rPr>
          <w:rFonts w:ascii="Verdana" w:hAnsi="Verdana" w:cs="Arial"/>
          <w:sz w:val="21"/>
          <w:szCs w:val="21"/>
        </w:rPr>
      </w:pPr>
      <w:r>
        <w:rPr>
          <w:rFonts w:ascii="Verdana" w:hAnsi="Verdana" w:cs="Arial"/>
          <w:sz w:val="21"/>
          <w:szCs w:val="21"/>
        </w:rPr>
        <w:t xml:space="preserve">(i) to conduct scoping activities under Step 1; </w:t>
      </w:r>
    </w:p>
    <w:p w14:paraId="6703E5DA" w14:textId="77777777" w:rsidR="00B71340" w:rsidRDefault="00000000">
      <w:pPr>
        <w:spacing w:after="160" w:line="240" w:lineRule="auto"/>
        <w:rPr>
          <w:rFonts w:ascii="Verdana" w:hAnsi="Verdana" w:cs="Arial"/>
          <w:sz w:val="21"/>
          <w:szCs w:val="21"/>
        </w:rPr>
      </w:pPr>
      <w:r>
        <w:rPr>
          <w:rFonts w:ascii="Verdana" w:hAnsi="Verdana" w:cs="Arial"/>
          <w:sz w:val="21"/>
          <w:szCs w:val="21"/>
        </w:rPr>
        <w:t xml:space="preserve">(ii) to conduct stakeholder consultations under Step 3; and </w:t>
      </w:r>
    </w:p>
    <w:p w14:paraId="6703E5DB" w14:textId="77777777" w:rsidR="00B71340" w:rsidRDefault="00000000">
      <w:pPr>
        <w:spacing w:after="160" w:line="240" w:lineRule="auto"/>
        <w:rPr>
          <w:rFonts w:ascii="Verdana" w:hAnsi="Verdana" w:cs="Arial"/>
          <w:sz w:val="21"/>
          <w:szCs w:val="21"/>
        </w:rPr>
      </w:pPr>
      <w:r>
        <w:rPr>
          <w:rFonts w:ascii="Verdana" w:hAnsi="Verdana" w:cs="Arial"/>
          <w:sz w:val="21"/>
          <w:szCs w:val="21"/>
        </w:rPr>
        <w:t>(iii) to participate in the national validation workshop under Step 5. Assistance with inviting participants to meetings will be provided but the consultant should budget for costs of refreshments and venue hire (if required). The consultant is required to provide a detailed budgetary estimate.</w:t>
      </w:r>
    </w:p>
    <w:p w14:paraId="6703E5DC" w14:textId="77777777" w:rsidR="00B71340" w:rsidRDefault="00B71340">
      <w:pPr>
        <w:autoSpaceDE w:val="0"/>
        <w:autoSpaceDN w:val="0"/>
        <w:adjustRightInd w:val="0"/>
        <w:spacing w:after="160" w:line="240" w:lineRule="auto"/>
        <w:rPr>
          <w:rFonts w:ascii="Verdana" w:hAnsi="Verdana" w:cstheme="minorHAnsi"/>
          <w:b/>
          <w:bCs/>
          <w:color w:val="000000"/>
          <w:sz w:val="24"/>
          <w:szCs w:val="24"/>
        </w:rPr>
      </w:pPr>
    </w:p>
    <w:p w14:paraId="6703E5DD" w14:textId="77777777" w:rsidR="00B71340" w:rsidRDefault="00000000">
      <w:pPr>
        <w:autoSpaceDE w:val="0"/>
        <w:autoSpaceDN w:val="0"/>
        <w:adjustRightInd w:val="0"/>
        <w:spacing w:after="160" w:line="240" w:lineRule="auto"/>
        <w:rPr>
          <w:rFonts w:ascii="Verdana" w:hAnsi="Verdana" w:cstheme="minorHAnsi"/>
          <w:b/>
          <w:bCs/>
          <w:color w:val="000000"/>
          <w:sz w:val="24"/>
          <w:szCs w:val="24"/>
        </w:rPr>
      </w:pPr>
      <w:r>
        <w:rPr>
          <w:rFonts w:ascii="Verdana" w:hAnsi="Verdana" w:cstheme="minorHAnsi"/>
          <w:b/>
          <w:bCs/>
          <w:color w:val="000000"/>
          <w:sz w:val="24"/>
          <w:szCs w:val="24"/>
        </w:rPr>
        <w:t>6) Period of services</w:t>
      </w:r>
    </w:p>
    <w:p w14:paraId="6703E5DE" w14:textId="77777777" w:rsidR="00B71340" w:rsidRDefault="00000000">
      <w:pPr>
        <w:spacing w:after="160" w:line="240" w:lineRule="auto"/>
        <w:rPr>
          <w:rFonts w:ascii="Verdana" w:hAnsi="Verdana" w:cs="Arial"/>
          <w:sz w:val="21"/>
          <w:szCs w:val="21"/>
        </w:rPr>
      </w:pPr>
      <w:r>
        <w:rPr>
          <w:rFonts w:ascii="Verdana" w:hAnsi="Verdana" w:cs="Arial"/>
          <w:sz w:val="21"/>
          <w:szCs w:val="21"/>
        </w:rPr>
        <w:t>The assignment is expected to be completed within a three-month timeframe with implementation beginning within two weeks of contract signature. The consultant is expected to provide a detailed timeline.</w:t>
      </w:r>
    </w:p>
    <w:p w14:paraId="6703E5DF" w14:textId="77777777" w:rsidR="00B71340" w:rsidRDefault="00B71340">
      <w:pPr>
        <w:spacing w:after="160" w:line="240" w:lineRule="auto"/>
        <w:rPr>
          <w:rFonts w:ascii="Verdana" w:hAnsi="Verdana" w:cs="Arial"/>
          <w:b/>
          <w:bCs/>
          <w:sz w:val="21"/>
          <w:szCs w:val="21"/>
        </w:rPr>
      </w:pPr>
    </w:p>
    <w:p w14:paraId="6703E5E0" w14:textId="77777777" w:rsidR="00B71340" w:rsidRDefault="00000000">
      <w:pPr>
        <w:spacing w:after="160" w:line="240" w:lineRule="auto"/>
        <w:rPr>
          <w:rFonts w:ascii="Verdana" w:hAnsi="Verdana" w:cs="Arial"/>
          <w:b/>
          <w:bCs/>
          <w:sz w:val="21"/>
          <w:szCs w:val="21"/>
        </w:rPr>
      </w:pPr>
      <w:r>
        <w:rPr>
          <w:rFonts w:ascii="Verdana" w:hAnsi="Verdana" w:cs="Arial"/>
          <w:b/>
          <w:bCs/>
          <w:sz w:val="21"/>
          <w:szCs w:val="21"/>
        </w:rPr>
        <w:t>For proposal submission and more information, contact:</w:t>
      </w:r>
    </w:p>
    <w:p w14:paraId="6703E5E1" w14:textId="77777777" w:rsidR="00B71340" w:rsidRDefault="00000000">
      <w:pPr>
        <w:spacing w:after="160" w:line="240" w:lineRule="auto"/>
        <w:rPr>
          <w:rFonts w:ascii="Verdana" w:hAnsi="Verdana" w:cs="Arial"/>
          <w:sz w:val="21"/>
          <w:szCs w:val="21"/>
        </w:rPr>
      </w:pPr>
      <w:r>
        <w:rPr>
          <w:rFonts w:ascii="Verdana" w:hAnsi="Verdana" w:cs="Arial"/>
          <w:sz w:val="21"/>
          <w:szCs w:val="21"/>
        </w:rPr>
        <w:t xml:space="preserve">Jack Tordoff, Managing Director, CEPF / email: </w:t>
      </w:r>
      <w:hyperlink r:id="rId9" w:history="1">
        <w:r>
          <w:rPr>
            <w:rStyle w:val="Hyperlink"/>
            <w:rFonts w:ascii="Verdana" w:hAnsi="Verdana" w:cs="Arial"/>
            <w:sz w:val="21"/>
            <w:szCs w:val="21"/>
          </w:rPr>
          <w:t>cepf@cepf.net</w:t>
        </w:r>
      </w:hyperlink>
      <w:r>
        <w:rPr>
          <w:rFonts w:ascii="Verdana" w:hAnsi="Verdana" w:cs="Arial"/>
          <w:sz w:val="21"/>
          <w:szCs w:val="21"/>
        </w:rPr>
        <w:t xml:space="preserve"> </w:t>
      </w:r>
    </w:p>
    <w:p w14:paraId="6703E5E2" w14:textId="77777777" w:rsidR="00B71340" w:rsidRDefault="00B71340">
      <w:pPr>
        <w:spacing w:after="160" w:line="240" w:lineRule="auto"/>
        <w:ind w:left="360"/>
        <w:rPr>
          <w:rFonts w:ascii="Verdana" w:hAnsi="Verdana" w:cs="Arial"/>
          <w:i/>
          <w:iCs/>
          <w:sz w:val="21"/>
          <w:szCs w:val="21"/>
        </w:rPr>
      </w:pPr>
    </w:p>
    <w:p w14:paraId="6703E5E3" w14:textId="62DAA424" w:rsidR="00B71340" w:rsidRDefault="00000000">
      <w:pPr>
        <w:spacing w:after="160" w:line="240" w:lineRule="auto"/>
        <w:rPr>
          <w:rFonts w:ascii="Verdana" w:hAnsi="Verdana" w:cs="Arial"/>
          <w:i/>
          <w:iCs/>
          <w:sz w:val="21"/>
          <w:szCs w:val="21"/>
        </w:rPr>
      </w:pPr>
      <w:r>
        <w:rPr>
          <w:rFonts w:ascii="Verdana" w:hAnsi="Verdana" w:cs="Arial"/>
          <w:i/>
          <w:iCs/>
          <w:sz w:val="21"/>
          <w:szCs w:val="21"/>
        </w:rPr>
        <w:t>Completed proposals should be received by CEPF no later than</w:t>
      </w:r>
      <w:r>
        <w:rPr>
          <w:rFonts w:ascii="Verdana" w:hAnsi="Verdana" w:cs="Arial"/>
          <w:sz w:val="21"/>
          <w:szCs w:val="21"/>
        </w:rPr>
        <w:t xml:space="preserve"> </w:t>
      </w:r>
      <w:r w:rsidR="00FA41AB">
        <w:rPr>
          <w:rFonts w:ascii="Verdana" w:hAnsi="Verdana" w:cs="Arial"/>
          <w:i/>
          <w:iCs/>
          <w:sz w:val="21"/>
          <w:szCs w:val="21"/>
        </w:rPr>
        <w:t>30</w:t>
      </w:r>
      <w:r>
        <w:rPr>
          <w:rFonts w:ascii="Verdana" w:hAnsi="Verdana" w:cs="Arial"/>
          <w:i/>
          <w:iCs/>
          <w:sz w:val="21"/>
          <w:szCs w:val="21"/>
        </w:rPr>
        <w:t xml:space="preserve"> January 2026</w:t>
      </w:r>
      <w:r w:rsidR="000B4BA4">
        <w:rPr>
          <w:rFonts w:ascii="Verdana" w:hAnsi="Verdana" w:cs="Arial"/>
          <w:i/>
          <w:iCs/>
          <w:sz w:val="21"/>
          <w:szCs w:val="21"/>
        </w:rPr>
        <w:t>.</w:t>
      </w:r>
    </w:p>
    <w:p w14:paraId="6703E5E4" w14:textId="77777777" w:rsidR="00B71340" w:rsidRDefault="00B71340">
      <w:pPr>
        <w:tabs>
          <w:tab w:val="left" w:pos="1940"/>
        </w:tabs>
        <w:spacing w:line="240" w:lineRule="auto"/>
        <w:jc w:val="both"/>
        <w:rPr>
          <w:rFonts w:ascii="Verdana" w:hAnsi="Verdana" w:cs="Arial"/>
          <w:lang w:val="en-GB"/>
        </w:rPr>
      </w:pPr>
    </w:p>
    <w:sectPr w:rsidR="00B7134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6A73" w14:textId="77777777" w:rsidR="000F1288" w:rsidRDefault="000F1288">
      <w:pPr>
        <w:spacing w:line="240" w:lineRule="auto"/>
      </w:pPr>
      <w:r>
        <w:separator/>
      </w:r>
    </w:p>
  </w:endnote>
  <w:endnote w:type="continuationSeparator" w:id="0">
    <w:p w14:paraId="1D0A38F7" w14:textId="77777777" w:rsidR="000F1288" w:rsidRDefault="000F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altName w:val="Segoe Print"/>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DDB9" w14:textId="77777777" w:rsidR="000F1288" w:rsidRDefault="000F1288">
      <w:pPr>
        <w:spacing w:after="0"/>
      </w:pPr>
      <w:r>
        <w:separator/>
      </w:r>
    </w:p>
  </w:footnote>
  <w:footnote w:type="continuationSeparator" w:id="0">
    <w:p w14:paraId="4E165B4E" w14:textId="77777777" w:rsidR="000F1288" w:rsidRDefault="000F12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E5EA" w14:textId="77777777" w:rsidR="00B71340" w:rsidRDefault="00000000">
    <w:pPr>
      <w:pStyle w:val="Header"/>
    </w:pPr>
    <w:r>
      <w:rPr>
        <w:noProof/>
      </w:rPr>
      <w:drawing>
        <wp:inline distT="0" distB="0" distL="0" distR="0" wp14:anchorId="6703E5EC" wp14:editId="6703E5ED">
          <wp:extent cx="1432560" cy="457200"/>
          <wp:effectExtent l="0" t="0" r="0" b="0"/>
          <wp:docPr id="300943589" name="Picture 4"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43589" name="Picture 4" descr="A black background with grey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015" cy="457200"/>
                  </a:xfrm>
                  <a:prstGeom prst="rect">
                    <a:avLst/>
                  </a:prstGeom>
                  <a:noFill/>
                  <a:ln>
                    <a:noFill/>
                  </a:ln>
                </pic:spPr>
              </pic:pic>
            </a:graphicData>
          </a:graphic>
        </wp:inline>
      </w:drawing>
    </w:r>
    <w:r>
      <w:t xml:space="preserve">      </w:t>
    </w:r>
    <w:r>
      <w:rPr>
        <w:noProof/>
      </w:rPr>
      <w:drawing>
        <wp:inline distT="0" distB="0" distL="0" distR="0" wp14:anchorId="6703E5EE" wp14:editId="6703E5EF">
          <wp:extent cx="1096010" cy="493395"/>
          <wp:effectExtent l="0" t="0" r="8890" b="1905"/>
          <wp:docPr id="1061387938" name="Picture 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87938" name="Picture 3" descr="A picture containing text, font, graphics,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96856" cy="493585"/>
                  </a:xfrm>
                  <a:prstGeom prst="rect">
                    <a:avLst/>
                  </a:prstGeom>
                  <a:noFill/>
                  <a:ln>
                    <a:noFill/>
                  </a:ln>
                </pic:spPr>
              </pic:pic>
            </a:graphicData>
          </a:graphic>
        </wp:inline>
      </w:drawing>
    </w:r>
    <w:r>
      <w:t xml:space="preserve">    </w:t>
    </w:r>
    <w:r>
      <w:rPr>
        <w:rFonts w:ascii="Verdana" w:hAnsi="Verdana" w:cstheme="minorHAnsi"/>
        <w:b/>
        <w:bCs/>
        <w:noProof/>
        <w:color w:val="000000"/>
      </w:rPr>
      <w:drawing>
        <wp:inline distT="0" distB="0" distL="0" distR="0" wp14:anchorId="6703E5F0" wp14:editId="6703E5F1">
          <wp:extent cx="1374140" cy="457200"/>
          <wp:effectExtent l="0" t="0" r="0" b="0"/>
          <wp:docPr id="9" name="Picture 8"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text on it&#10;&#10;AI-generated content may be incorrect."/>
                  <pic:cNvPicPr>
                    <a:picLocks noChangeAspect="1"/>
                  </pic:cNvPicPr>
                </pic:nvPicPr>
                <pic:blipFill>
                  <a:blip r:embed="rId3"/>
                  <a:stretch>
                    <a:fillRect/>
                  </a:stretch>
                </pic:blipFill>
                <pic:spPr>
                  <a:xfrm>
                    <a:off x="0" y="0"/>
                    <a:ext cx="1374423" cy="457200"/>
                  </a:xfrm>
                  <a:prstGeom prst="rect">
                    <a:avLst/>
                  </a:prstGeom>
                </pic:spPr>
              </pic:pic>
            </a:graphicData>
          </a:graphic>
        </wp:inline>
      </w:drawing>
    </w:r>
    <w:r>
      <w:t xml:space="preserve">    </w:t>
    </w:r>
    <w:r>
      <w:rPr>
        <w:noProof/>
      </w:rPr>
      <w:drawing>
        <wp:inline distT="0" distB="0" distL="0" distR="0" wp14:anchorId="6703E5F2" wp14:editId="6703E5F3">
          <wp:extent cx="1346835" cy="457200"/>
          <wp:effectExtent l="0" t="0" r="571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4" cstate="email"/>
                  <a:stretch>
                    <a:fillRect/>
                  </a:stretch>
                </pic:blipFill>
                <pic:spPr>
                  <a:xfrm>
                    <a:off x="0" y="0"/>
                    <a:ext cx="1347308" cy="457200"/>
                  </a:xfrm>
                  <a:prstGeom prst="rect">
                    <a:avLst/>
                  </a:prstGeom>
                </pic:spPr>
              </pic:pic>
            </a:graphicData>
          </a:graphic>
        </wp:inline>
      </w:drawing>
    </w:r>
  </w:p>
  <w:p w14:paraId="6703E5EB" w14:textId="77777777" w:rsidR="00B71340" w:rsidRDefault="00B71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7EF3"/>
    <w:multiLevelType w:val="multilevel"/>
    <w:tmpl w:val="191C7EF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6A4E89"/>
    <w:multiLevelType w:val="multilevel"/>
    <w:tmpl w:val="1F6A4E8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7D4260"/>
    <w:multiLevelType w:val="multilevel"/>
    <w:tmpl w:val="1F7D426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96829D1"/>
    <w:multiLevelType w:val="multilevel"/>
    <w:tmpl w:val="596829D1"/>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828521542">
    <w:abstractNumId w:val="3"/>
  </w:num>
  <w:num w:numId="2" w16cid:durableId="403068325">
    <w:abstractNumId w:val="1"/>
  </w:num>
  <w:num w:numId="3" w16cid:durableId="1676028343">
    <w:abstractNumId w:val="0"/>
  </w:num>
  <w:num w:numId="4" w16cid:durableId="198137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28"/>
    <w:rsid w:val="00004BC4"/>
    <w:rsid w:val="0000619B"/>
    <w:rsid w:val="00025462"/>
    <w:rsid w:val="000260D2"/>
    <w:rsid w:val="00026FBC"/>
    <w:rsid w:val="00034EE9"/>
    <w:rsid w:val="0005012D"/>
    <w:rsid w:val="0005692F"/>
    <w:rsid w:val="0006071F"/>
    <w:rsid w:val="00063D90"/>
    <w:rsid w:val="00073477"/>
    <w:rsid w:val="000960DD"/>
    <w:rsid w:val="000A4DFF"/>
    <w:rsid w:val="000A7C8B"/>
    <w:rsid w:val="000B2252"/>
    <w:rsid w:val="000B3121"/>
    <w:rsid w:val="000B4BA4"/>
    <w:rsid w:val="000C1335"/>
    <w:rsid w:val="000D4E32"/>
    <w:rsid w:val="000D5A93"/>
    <w:rsid w:val="000E7872"/>
    <w:rsid w:val="000E7BBA"/>
    <w:rsid w:val="000F1288"/>
    <w:rsid w:val="000F6592"/>
    <w:rsid w:val="00100340"/>
    <w:rsid w:val="00103A3A"/>
    <w:rsid w:val="00103CAC"/>
    <w:rsid w:val="0010431F"/>
    <w:rsid w:val="00104BF5"/>
    <w:rsid w:val="00114882"/>
    <w:rsid w:val="00120240"/>
    <w:rsid w:val="00123543"/>
    <w:rsid w:val="001278A4"/>
    <w:rsid w:val="00136512"/>
    <w:rsid w:val="00137363"/>
    <w:rsid w:val="00142860"/>
    <w:rsid w:val="00143F0E"/>
    <w:rsid w:val="00144A8D"/>
    <w:rsid w:val="001641B7"/>
    <w:rsid w:val="001759F2"/>
    <w:rsid w:val="001776B7"/>
    <w:rsid w:val="00184C2B"/>
    <w:rsid w:val="001859DA"/>
    <w:rsid w:val="00186565"/>
    <w:rsid w:val="00196384"/>
    <w:rsid w:val="001A02C3"/>
    <w:rsid w:val="001B5341"/>
    <w:rsid w:val="001B64C8"/>
    <w:rsid w:val="001B67E0"/>
    <w:rsid w:val="001C0003"/>
    <w:rsid w:val="001C01A2"/>
    <w:rsid w:val="001C54DB"/>
    <w:rsid w:val="001D6724"/>
    <w:rsid w:val="001E10AA"/>
    <w:rsid w:val="001E2CAF"/>
    <w:rsid w:val="0020326D"/>
    <w:rsid w:val="0020358F"/>
    <w:rsid w:val="00204AF6"/>
    <w:rsid w:val="00204C96"/>
    <w:rsid w:val="00205EF9"/>
    <w:rsid w:val="00206CAE"/>
    <w:rsid w:val="0020772F"/>
    <w:rsid w:val="002146D5"/>
    <w:rsid w:val="00225586"/>
    <w:rsid w:val="00230B05"/>
    <w:rsid w:val="002328EB"/>
    <w:rsid w:val="00241F9F"/>
    <w:rsid w:val="0024408F"/>
    <w:rsid w:val="002474B7"/>
    <w:rsid w:val="00251705"/>
    <w:rsid w:val="002538DC"/>
    <w:rsid w:val="00261495"/>
    <w:rsid w:val="00277F90"/>
    <w:rsid w:val="00287CA2"/>
    <w:rsid w:val="00297ADC"/>
    <w:rsid w:val="002B33D0"/>
    <w:rsid w:val="002B40A2"/>
    <w:rsid w:val="002C62F5"/>
    <w:rsid w:val="002D0A1C"/>
    <w:rsid w:val="002E780A"/>
    <w:rsid w:val="002F1692"/>
    <w:rsid w:val="002F5394"/>
    <w:rsid w:val="0030032A"/>
    <w:rsid w:val="00305815"/>
    <w:rsid w:val="0032304F"/>
    <w:rsid w:val="00325BF1"/>
    <w:rsid w:val="00337D6A"/>
    <w:rsid w:val="003406F3"/>
    <w:rsid w:val="003448D0"/>
    <w:rsid w:val="00356D7E"/>
    <w:rsid w:val="00367C60"/>
    <w:rsid w:val="003729BE"/>
    <w:rsid w:val="0037407F"/>
    <w:rsid w:val="003A1368"/>
    <w:rsid w:val="003A1645"/>
    <w:rsid w:val="003A567B"/>
    <w:rsid w:val="003B4DF0"/>
    <w:rsid w:val="003B736B"/>
    <w:rsid w:val="003C4CBE"/>
    <w:rsid w:val="003D5F2E"/>
    <w:rsid w:val="003E0C8C"/>
    <w:rsid w:val="003E43C1"/>
    <w:rsid w:val="00400826"/>
    <w:rsid w:val="00412CAB"/>
    <w:rsid w:val="004139E6"/>
    <w:rsid w:val="004141C5"/>
    <w:rsid w:val="00420D26"/>
    <w:rsid w:val="0042486F"/>
    <w:rsid w:val="00425FD8"/>
    <w:rsid w:val="00427973"/>
    <w:rsid w:val="0044009E"/>
    <w:rsid w:val="00440F53"/>
    <w:rsid w:val="00477BC8"/>
    <w:rsid w:val="00497E53"/>
    <w:rsid w:val="004A30E6"/>
    <w:rsid w:val="004D4AEC"/>
    <w:rsid w:val="004E0D4D"/>
    <w:rsid w:val="004E17BC"/>
    <w:rsid w:val="004E356B"/>
    <w:rsid w:val="004E4185"/>
    <w:rsid w:val="004E6370"/>
    <w:rsid w:val="004F7496"/>
    <w:rsid w:val="00502C5D"/>
    <w:rsid w:val="0050359E"/>
    <w:rsid w:val="005079D5"/>
    <w:rsid w:val="005136BA"/>
    <w:rsid w:val="005154B4"/>
    <w:rsid w:val="00526172"/>
    <w:rsid w:val="005264F5"/>
    <w:rsid w:val="00547C58"/>
    <w:rsid w:val="00560B59"/>
    <w:rsid w:val="00561507"/>
    <w:rsid w:val="005643D7"/>
    <w:rsid w:val="00574E1D"/>
    <w:rsid w:val="00586266"/>
    <w:rsid w:val="005A2F73"/>
    <w:rsid w:val="005B10A7"/>
    <w:rsid w:val="005C0F53"/>
    <w:rsid w:val="005C3757"/>
    <w:rsid w:val="006044A5"/>
    <w:rsid w:val="00604F2C"/>
    <w:rsid w:val="00606B0A"/>
    <w:rsid w:val="006303DD"/>
    <w:rsid w:val="0063286C"/>
    <w:rsid w:val="0063352D"/>
    <w:rsid w:val="00666687"/>
    <w:rsid w:val="0066739E"/>
    <w:rsid w:val="006A2C29"/>
    <w:rsid w:val="006C3684"/>
    <w:rsid w:val="006D005E"/>
    <w:rsid w:val="006D1BFA"/>
    <w:rsid w:val="006D5E24"/>
    <w:rsid w:val="006D7A27"/>
    <w:rsid w:val="006E720C"/>
    <w:rsid w:val="006F5DB6"/>
    <w:rsid w:val="006F6FDE"/>
    <w:rsid w:val="0070179B"/>
    <w:rsid w:val="00705D4B"/>
    <w:rsid w:val="007231B8"/>
    <w:rsid w:val="007237F4"/>
    <w:rsid w:val="007309CC"/>
    <w:rsid w:val="00734744"/>
    <w:rsid w:val="007515F6"/>
    <w:rsid w:val="00751D3F"/>
    <w:rsid w:val="00752057"/>
    <w:rsid w:val="007541F5"/>
    <w:rsid w:val="00760526"/>
    <w:rsid w:val="00763639"/>
    <w:rsid w:val="00766369"/>
    <w:rsid w:val="007702D8"/>
    <w:rsid w:val="007814C7"/>
    <w:rsid w:val="00782616"/>
    <w:rsid w:val="00790558"/>
    <w:rsid w:val="007A2712"/>
    <w:rsid w:val="007B6D78"/>
    <w:rsid w:val="007D6BCC"/>
    <w:rsid w:val="007D7EB7"/>
    <w:rsid w:val="007E4896"/>
    <w:rsid w:val="007F2FBC"/>
    <w:rsid w:val="007F366D"/>
    <w:rsid w:val="007F40D8"/>
    <w:rsid w:val="00801FFC"/>
    <w:rsid w:val="008100FB"/>
    <w:rsid w:val="0081267F"/>
    <w:rsid w:val="00813A36"/>
    <w:rsid w:val="00833996"/>
    <w:rsid w:val="008558E2"/>
    <w:rsid w:val="0085712C"/>
    <w:rsid w:val="00862850"/>
    <w:rsid w:val="0086491C"/>
    <w:rsid w:val="00864991"/>
    <w:rsid w:val="00877AF7"/>
    <w:rsid w:val="0088057F"/>
    <w:rsid w:val="00887F5B"/>
    <w:rsid w:val="00891D6D"/>
    <w:rsid w:val="008925D5"/>
    <w:rsid w:val="008B339E"/>
    <w:rsid w:val="008B51CD"/>
    <w:rsid w:val="008C5693"/>
    <w:rsid w:val="008D59DC"/>
    <w:rsid w:val="008D5A3F"/>
    <w:rsid w:val="008E01ED"/>
    <w:rsid w:val="008E1BE7"/>
    <w:rsid w:val="008E2644"/>
    <w:rsid w:val="008E2705"/>
    <w:rsid w:val="008E6CA8"/>
    <w:rsid w:val="00900779"/>
    <w:rsid w:val="00902B32"/>
    <w:rsid w:val="00903BB1"/>
    <w:rsid w:val="00911084"/>
    <w:rsid w:val="00911756"/>
    <w:rsid w:val="00915BB5"/>
    <w:rsid w:val="009239C2"/>
    <w:rsid w:val="009266F4"/>
    <w:rsid w:val="00934FA9"/>
    <w:rsid w:val="00942E18"/>
    <w:rsid w:val="00943832"/>
    <w:rsid w:val="009474F9"/>
    <w:rsid w:val="00955AD5"/>
    <w:rsid w:val="009618E7"/>
    <w:rsid w:val="0097048B"/>
    <w:rsid w:val="00972FC3"/>
    <w:rsid w:val="00975130"/>
    <w:rsid w:val="0097557D"/>
    <w:rsid w:val="00985F3C"/>
    <w:rsid w:val="00985FA0"/>
    <w:rsid w:val="00986C2F"/>
    <w:rsid w:val="00990418"/>
    <w:rsid w:val="0099488A"/>
    <w:rsid w:val="009956A6"/>
    <w:rsid w:val="009A2089"/>
    <w:rsid w:val="009A4720"/>
    <w:rsid w:val="009A7D8F"/>
    <w:rsid w:val="009B2283"/>
    <w:rsid w:val="009C27E1"/>
    <w:rsid w:val="009D054E"/>
    <w:rsid w:val="009E1C8C"/>
    <w:rsid w:val="009F7B6F"/>
    <w:rsid w:val="00A05546"/>
    <w:rsid w:val="00A13318"/>
    <w:rsid w:val="00A16822"/>
    <w:rsid w:val="00A22D23"/>
    <w:rsid w:val="00A23F9E"/>
    <w:rsid w:val="00A27355"/>
    <w:rsid w:val="00A3026F"/>
    <w:rsid w:val="00A37536"/>
    <w:rsid w:val="00A42377"/>
    <w:rsid w:val="00A45C0C"/>
    <w:rsid w:val="00A62095"/>
    <w:rsid w:val="00A70EFB"/>
    <w:rsid w:val="00A904A6"/>
    <w:rsid w:val="00A9767C"/>
    <w:rsid w:val="00AA2C26"/>
    <w:rsid w:val="00AC3925"/>
    <w:rsid w:val="00AC75D5"/>
    <w:rsid w:val="00AD53B7"/>
    <w:rsid w:val="00AD5A2E"/>
    <w:rsid w:val="00AE19E5"/>
    <w:rsid w:val="00AE1B7B"/>
    <w:rsid w:val="00AE2E48"/>
    <w:rsid w:val="00AF247F"/>
    <w:rsid w:val="00B00DB5"/>
    <w:rsid w:val="00B14786"/>
    <w:rsid w:val="00B14D92"/>
    <w:rsid w:val="00B17A49"/>
    <w:rsid w:val="00B2343E"/>
    <w:rsid w:val="00B479E2"/>
    <w:rsid w:val="00B6070C"/>
    <w:rsid w:val="00B708DC"/>
    <w:rsid w:val="00B71340"/>
    <w:rsid w:val="00B80DD6"/>
    <w:rsid w:val="00B82F87"/>
    <w:rsid w:val="00B83E25"/>
    <w:rsid w:val="00B87174"/>
    <w:rsid w:val="00B91568"/>
    <w:rsid w:val="00BA292C"/>
    <w:rsid w:val="00BC3737"/>
    <w:rsid w:val="00BC3885"/>
    <w:rsid w:val="00BD2224"/>
    <w:rsid w:val="00BD5CF7"/>
    <w:rsid w:val="00BE5D03"/>
    <w:rsid w:val="00BF1F38"/>
    <w:rsid w:val="00BF5782"/>
    <w:rsid w:val="00BF5D60"/>
    <w:rsid w:val="00C050AE"/>
    <w:rsid w:val="00C16820"/>
    <w:rsid w:val="00C171C5"/>
    <w:rsid w:val="00C42BE1"/>
    <w:rsid w:val="00C44DF2"/>
    <w:rsid w:val="00C47C93"/>
    <w:rsid w:val="00C53867"/>
    <w:rsid w:val="00C6772B"/>
    <w:rsid w:val="00C76ABA"/>
    <w:rsid w:val="00CA067D"/>
    <w:rsid w:val="00CA6E5E"/>
    <w:rsid w:val="00CB6B8B"/>
    <w:rsid w:val="00CC2BE6"/>
    <w:rsid w:val="00CC4C82"/>
    <w:rsid w:val="00CD597A"/>
    <w:rsid w:val="00CE3BEC"/>
    <w:rsid w:val="00CF20EF"/>
    <w:rsid w:val="00CF306F"/>
    <w:rsid w:val="00CF730D"/>
    <w:rsid w:val="00CF7C15"/>
    <w:rsid w:val="00D00F52"/>
    <w:rsid w:val="00D06DC2"/>
    <w:rsid w:val="00D1348B"/>
    <w:rsid w:val="00D15CBD"/>
    <w:rsid w:val="00D233A9"/>
    <w:rsid w:val="00D27142"/>
    <w:rsid w:val="00D31AD0"/>
    <w:rsid w:val="00D41CA2"/>
    <w:rsid w:val="00D45C76"/>
    <w:rsid w:val="00D51A28"/>
    <w:rsid w:val="00D536C4"/>
    <w:rsid w:val="00D555A7"/>
    <w:rsid w:val="00D5724B"/>
    <w:rsid w:val="00D62FA1"/>
    <w:rsid w:val="00D64D33"/>
    <w:rsid w:val="00D6712A"/>
    <w:rsid w:val="00D67BDE"/>
    <w:rsid w:val="00D7501B"/>
    <w:rsid w:val="00D764E9"/>
    <w:rsid w:val="00D8051F"/>
    <w:rsid w:val="00D8324C"/>
    <w:rsid w:val="00D96F8D"/>
    <w:rsid w:val="00DB0835"/>
    <w:rsid w:val="00DC2227"/>
    <w:rsid w:val="00DD4D0C"/>
    <w:rsid w:val="00DE0412"/>
    <w:rsid w:val="00DE2639"/>
    <w:rsid w:val="00DE2D96"/>
    <w:rsid w:val="00E064B3"/>
    <w:rsid w:val="00E06678"/>
    <w:rsid w:val="00E212B5"/>
    <w:rsid w:val="00E34082"/>
    <w:rsid w:val="00E52BB4"/>
    <w:rsid w:val="00E53607"/>
    <w:rsid w:val="00E539FF"/>
    <w:rsid w:val="00E557AC"/>
    <w:rsid w:val="00E72DD4"/>
    <w:rsid w:val="00E74DE6"/>
    <w:rsid w:val="00E81E7C"/>
    <w:rsid w:val="00E93BE7"/>
    <w:rsid w:val="00EB141B"/>
    <w:rsid w:val="00EB6709"/>
    <w:rsid w:val="00EC2770"/>
    <w:rsid w:val="00EC3C98"/>
    <w:rsid w:val="00EC6F88"/>
    <w:rsid w:val="00ED1015"/>
    <w:rsid w:val="00ED2F55"/>
    <w:rsid w:val="00ED7667"/>
    <w:rsid w:val="00EE2EAB"/>
    <w:rsid w:val="00EE47AE"/>
    <w:rsid w:val="00EF1725"/>
    <w:rsid w:val="00EF5B3C"/>
    <w:rsid w:val="00F175F8"/>
    <w:rsid w:val="00F229A3"/>
    <w:rsid w:val="00F266FD"/>
    <w:rsid w:val="00F33074"/>
    <w:rsid w:val="00F33D74"/>
    <w:rsid w:val="00F43D6D"/>
    <w:rsid w:val="00F51D81"/>
    <w:rsid w:val="00F62C35"/>
    <w:rsid w:val="00F81D53"/>
    <w:rsid w:val="00F872D3"/>
    <w:rsid w:val="00F9508B"/>
    <w:rsid w:val="00F964D0"/>
    <w:rsid w:val="00F96884"/>
    <w:rsid w:val="00FA41AB"/>
    <w:rsid w:val="00FA53CD"/>
    <w:rsid w:val="00FA5EAA"/>
    <w:rsid w:val="00FA6BC8"/>
    <w:rsid w:val="00FB1A71"/>
    <w:rsid w:val="00FB6D98"/>
    <w:rsid w:val="00FC1646"/>
    <w:rsid w:val="00FC3989"/>
    <w:rsid w:val="00FD09D0"/>
    <w:rsid w:val="00FD655F"/>
    <w:rsid w:val="00FD6C05"/>
    <w:rsid w:val="2DBF786D"/>
    <w:rsid w:val="326A4A2B"/>
    <w:rsid w:val="41665D5E"/>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E5A3"/>
  <w15:docId w15:val="{3B0B9791-EBEA-44C3-9804-B2C7AC9C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eastAsia="en-GB"/>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GB" w:eastAsia="en-US"/>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GB" w:eastAsia="en-US"/>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en-GB" w:eastAsia="en-US"/>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2E74B5" w:themeColor="accent1" w:themeShade="BF"/>
      <w:lang w:val="en-GB" w:eastAsia="en-US"/>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2E74B5" w:themeColor="accent1" w:themeShade="BF"/>
      <w:lang w:val="en-GB" w:eastAsia="en-US"/>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inorHAnsi" w:eastAsiaTheme="majorEastAsia" w:hAnsiTheme="minorHAnsi" w:cstheme="majorBidi"/>
      <w:i/>
      <w:iCs/>
      <w:color w:val="595959" w:themeColor="text1" w:themeTint="A6"/>
      <w:lang w:val="en-GB" w:eastAsia="en-US"/>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inorHAnsi" w:eastAsiaTheme="majorEastAsia" w:hAnsiTheme="minorHAnsi" w:cstheme="majorBidi"/>
      <w:color w:val="595959" w:themeColor="text1" w:themeTint="A6"/>
      <w:lang w:val="en-GB" w:eastAsia="en-US"/>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asciiTheme="minorHAnsi" w:eastAsiaTheme="majorEastAsia" w:hAnsiTheme="minorHAnsi" w:cstheme="majorBidi"/>
      <w:i/>
      <w:iCs/>
      <w:color w:val="262626" w:themeColor="text1" w:themeTint="D9"/>
      <w:lang w:val="en-GB" w:eastAsia="en-US"/>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asciiTheme="minorHAnsi" w:eastAsiaTheme="majorEastAsia" w:hAnsiTheme="minorHAnsi" w:cstheme="majorBidi"/>
      <w:color w:val="262626" w:themeColor="text1" w:themeTint="D9"/>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sz w:val="28"/>
      <w:szCs w:val="28"/>
      <w:lang w:val="en-GB"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lang w:val="en-GB" w:eastAsia="en-US"/>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lang w:val="en-GB" w:eastAsia="en-US"/>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lang w:val="en-GB" w:eastAsia="en-US"/>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FootnoteTextChar">
    <w:name w:val="Footnote Text Char"/>
    <w:basedOn w:val="DefaultParagraphFont"/>
    <w:link w:val="FootnoteText"/>
    <w:uiPriority w:val="99"/>
    <w:semiHidden/>
    <w:qFormat/>
    <w:rPr>
      <w:rFonts w:ascii="Calibri" w:eastAsia="Calibri" w:hAnsi="Calibri" w:cs="Calibri"/>
      <w:sz w:val="20"/>
      <w:szCs w:val="20"/>
      <w:lang w:val="en-US" w:eastAsia="en-GB"/>
    </w:rPr>
  </w:style>
  <w:style w:type="character" w:customStyle="1" w:styleId="CommentTextChar">
    <w:name w:val="Comment Text Char"/>
    <w:basedOn w:val="DefaultParagraphFont"/>
    <w:link w:val="CommentText"/>
    <w:uiPriority w:val="99"/>
    <w:rPr>
      <w:rFonts w:ascii="Calibri" w:eastAsia="Calibri" w:hAnsi="Calibri" w:cs="Calibri"/>
      <w:sz w:val="20"/>
      <w:szCs w:val="20"/>
      <w:lang w:val="en-US" w:eastAsia="en-GB"/>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0"/>
      <w:szCs w:val="20"/>
      <w:lang w:val="en-US" w:eastAsia="en-GB"/>
    </w:rPr>
  </w:style>
  <w:style w:type="paragraph" w:customStyle="1" w:styleId="Revision1">
    <w:name w:val="Revision1"/>
    <w:hidden/>
    <w:uiPriority w:val="99"/>
    <w:semiHidden/>
    <w:rPr>
      <w:rFonts w:ascii="Calibri" w:eastAsia="Calibri" w:hAnsi="Calibri" w:cs="Calibri"/>
      <w:sz w:val="22"/>
      <w:szCs w:val="22"/>
      <w:lang w:eastAsia="en-GB"/>
    </w:rPr>
  </w:style>
  <w:style w:type="character" w:customStyle="1" w:styleId="HeaderChar">
    <w:name w:val="Header Char"/>
    <w:basedOn w:val="DefaultParagraphFont"/>
    <w:link w:val="Header"/>
    <w:uiPriority w:val="99"/>
    <w:rPr>
      <w:rFonts w:ascii="Calibri" w:eastAsia="Calibri" w:hAnsi="Calibri" w:cs="Calibri"/>
      <w:lang w:val="en-US" w:eastAsia="en-GB"/>
    </w:rPr>
  </w:style>
  <w:style w:type="character" w:customStyle="1" w:styleId="FooterChar">
    <w:name w:val="Footer Char"/>
    <w:basedOn w:val="DefaultParagraphFont"/>
    <w:link w:val="Footer"/>
    <w:uiPriority w:val="99"/>
    <w:rPr>
      <w:rFonts w:ascii="Calibri" w:eastAsia="Calibri" w:hAnsi="Calibri" w:cs="Calibri"/>
      <w:lang w:val="en-US"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760526"/>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epf.net/resources/documents/cepf-environmental-and-social-management-framework-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pf@cepf.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3A62-295A-40E0-80E4-B225D5C5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1413</Words>
  <Characters>8566</Characters>
  <Application>Microsoft Office Word</Application>
  <DocSecurity>0</DocSecurity>
  <Lines>164</Lines>
  <Paragraphs>63</Paragraphs>
  <ScaleCrop>false</ScaleCrop>
  <Company>IUCN</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MANAMPERI Prince</dc:creator>
  <cp:lastModifiedBy>Jack Tordoff</cp:lastModifiedBy>
  <cp:revision>107</cp:revision>
  <cp:lastPrinted>2025-11-17T17:56:00Z</cp:lastPrinted>
  <dcterms:created xsi:type="dcterms:W3CDTF">2025-06-25T17:57:00Z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ac968178-67a9-4ccc-8cd9-dc0cd422e3dc</vt:lpwstr>
  </property>
  <property fmtid="{D5CDD505-2E9C-101B-9397-08002B2CF9AE}" pid="3" name="KSOProductBuildVer">
    <vt:lpwstr>1033-12.2.0.23196</vt:lpwstr>
  </property>
  <property fmtid="{D5CDD505-2E9C-101B-9397-08002B2CF9AE}" pid="4" name="ICV">
    <vt:lpwstr>22397E1C2F6C4F8585C119D1CD59EAF0_13</vt:lpwstr>
  </property>
</Properties>
</file>