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3C1B" w14:textId="77777777" w:rsidR="00E25DE3" w:rsidRPr="00E25DE3" w:rsidRDefault="00E25DE3" w:rsidP="00E25DE3">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DRAFT TERMS OF REFERENCE — CONSULTANCY SERVICES TO UPDATE THE SAINT VINCENT AND THE GRENADINES EDUCATION ACT AND DEVELOP A GENDER-TRANSFORMATIVE AND INCLUSIVE EDUCATION POLICY AND STRATEGY</w:t>
      </w:r>
    </w:p>
    <w:p w14:paraId="10A6AF67" w14:textId="77777777"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 Background</w:t>
      </w:r>
    </w:p>
    <w:p w14:paraId="65A3C2DB"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Government of Saint Vincent and the Grenadines (GOSVG) has received funding from the Caribbean Development Bank (CDB) and the Global Partnership for Education to implement the School Improvement Project (SIP) Phase 1. Under the Institutional Strengthening Component, financing has been allocated to update the Education Act and develop a Gender-Transformative and Inclusive Education Policy and Strategy.</w:t>
      </w:r>
    </w:p>
    <w:p w14:paraId="56772D7D"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current Education Act does not adequately cater to the needs of learners with Special Educational Needs and Disabilities (SEND) and has not been updated to align with the GOSVG's initiative to mainstream inclusive education. There is a need for a comprehensive policy framework and supporting operational guidance.</w:t>
      </w:r>
    </w:p>
    <w:p w14:paraId="71B6063E" w14:textId="4BF1766F" w:rsidR="00BC6EB9" w:rsidRDefault="00AE549C" w:rsidP="00E25DE3">
      <w:pPr>
        <w:spacing w:before="100" w:beforeAutospacing="1" w:after="100" w:afterAutospacing="1" w:line="240" w:lineRule="auto"/>
        <w:outlineLvl w:val="2"/>
        <w:rPr>
          <w:rFonts w:ascii="Times New Roman" w:eastAsia="Times New Roman" w:hAnsi="Times New Roman" w:cs="Times New Roman"/>
          <w:kern w:val="0"/>
          <w14:ligatures w14:val="none"/>
        </w:rPr>
      </w:pPr>
      <w:r w:rsidRPr="00873353">
        <w:rPr>
          <w:rFonts w:ascii="Times New Roman" w:eastAsia="Times New Roman" w:hAnsi="Times New Roman" w:cs="Times New Roman"/>
          <w:kern w:val="0"/>
          <w14:ligatures w14:val="none"/>
        </w:rPr>
        <w:t xml:space="preserve">A key consideration in revising the Education Act is the need to formally recognize and integrate the increasingly significant role of technology in contemporary educational practice. </w:t>
      </w:r>
      <w:r w:rsidR="00BC6EB9" w:rsidRPr="00873353">
        <w:rPr>
          <w:rFonts w:ascii="Times New Roman" w:eastAsia="Times New Roman" w:hAnsi="Times New Roman" w:cs="Times New Roman"/>
          <w:kern w:val="0"/>
          <w14:ligatures w14:val="none"/>
        </w:rPr>
        <w:t>Currently, the Act is an outdated legislative document that does not reflect the realities of a rapidly changing education sector increasingly influenced by digital tools, online learning platforms, and technology-driven pedagogies. This gap is significant, as integrating technology into teaching, learning, and educational administration has become a defining feature of modern education systems worldwide, including in the Caribbean region. The primary goal of this revision is therefore not only to correct issues related to inclusion and equity but also to ensure that the policy and legislation are aligned with current developments—positioning the revised Act as a forward-looking framework capable of governing education in a dynamic, technology-oriented environment. A modernized Education Act must establish the legal foundation for technology-rich education, including provisions for digital learning, data privacy, artificial intelligence, and equitable access for all students.</w:t>
      </w:r>
    </w:p>
    <w:p w14:paraId="3518FDC3" w14:textId="6F1A7D4B"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 Objectives</w:t>
      </w:r>
    </w:p>
    <w:p w14:paraId="1ACBE427"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consultancy aims to:</w:t>
      </w:r>
    </w:p>
    <w:p w14:paraId="1AFC7C7E" w14:textId="77777777" w:rsidR="00E25DE3" w:rsidRPr="00E25DE3" w:rsidRDefault="00E25DE3" w:rsidP="00E25DE3">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and update the Education Act to align it with current best practices and the GOSVG's objectives for inclusive education.</w:t>
      </w:r>
    </w:p>
    <w:p w14:paraId="6340BCD2" w14:textId="77777777" w:rsidR="00E25DE3" w:rsidRPr="00E25DE3" w:rsidRDefault="00E25DE3" w:rsidP="00E25DE3">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the Model Special Needs Policy for the Caribbean with a view to adapting it to local needs.</w:t>
      </w:r>
    </w:p>
    <w:p w14:paraId="4598B654" w14:textId="77777777" w:rsidR="00E25DE3" w:rsidRPr="00E25DE3" w:rsidRDefault="00E25DE3" w:rsidP="00E25DE3">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Engage stakeholders, including parents, teachers, and special education experts, in the review process.</w:t>
      </w:r>
    </w:p>
    <w:p w14:paraId="0E979FE4" w14:textId="77777777" w:rsidR="00E25DE3" w:rsidRPr="00E25DE3" w:rsidRDefault="00E25DE3" w:rsidP="00E25DE3">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Create a strategy, action plan, and operational manuals and guidelines to support the implementation of mainstreaming inclusive practices in the classroom.</w:t>
      </w:r>
    </w:p>
    <w:p w14:paraId="69DDAC77" w14:textId="77777777" w:rsidR="00E25DE3" w:rsidRPr="00E25DE3" w:rsidRDefault="00E25DE3" w:rsidP="00E25DE3">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Facilitate capacity-building workshops to ensure stakeholder understanding and ownership of the legislative and policy changes.</w:t>
      </w:r>
    </w:p>
    <w:p w14:paraId="782E4BBC" w14:textId="77777777"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3. Scope of Work</w:t>
      </w:r>
    </w:p>
    <w:p w14:paraId="231C6AD4"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Consultancy Firm will undertake the following tasks:</w:t>
      </w:r>
    </w:p>
    <w:p w14:paraId="143B0057" w14:textId="77777777" w:rsid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Conduct a comprehensive review of the existing Education Act and other relevant legislation, policies, and frameworks.</w:t>
      </w:r>
    </w:p>
    <w:p w14:paraId="31622D1C" w14:textId="22A77B4A" w:rsidR="00FB2023" w:rsidRPr="00873353" w:rsidRDefault="00FB202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73353">
        <w:rPr>
          <w:rFonts w:ascii="Times New Roman" w:eastAsia="Times New Roman" w:hAnsi="Times New Roman" w:cs="Times New Roman"/>
          <w:kern w:val="0"/>
          <w14:ligatures w14:val="none"/>
        </w:rPr>
        <w:t>Assess gaps in the current Education Act re</w:t>
      </w:r>
      <w:r w:rsidR="00554EE8" w:rsidRPr="00873353">
        <w:rPr>
          <w:rFonts w:ascii="Times New Roman" w:eastAsia="Times New Roman" w:hAnsi="Times New Roman" w:cs="Times New Roman"/>
          <w:kern w:val="0"/>
          <w14:ligatures w14:val="none"/>
        </w:rPr>
        <w:t>lated to</w:t>
      </w:r>
      <w:r w:rsidRPr="00873353">
        <w:rPr>
          <w:rFonts w:ascii="Times New Roman" w:eastAsia="Times New Roman" w:hAnsi="Times New Roman" w:cs="Times New Roman"/>
          <w:kern w:val="0"/>
          <w14:ligatures w14:val="none"/>
        </w:rPr>
        <w:t xml:space="preserve"> technology-infused education and recommend legislative provisions to govern digital and blended learning, artificial intelligence, EdTech platforms, data privacy, equitable access to technology, and </w:t>
      </w:r>
      <w:r w:rsidR="00554EE8" w:rsidRPr="00873353">
        <w:rPr>
          <w:rFonts w:ascii="Times New Roman" w:eastAsia="Times New Roman" w:hAnsi="Times New Roman" w:cs="Times New Roman"/>
          <w:kern w:val="0"/>
          <w14:ligatures w14:val="none"/>
        </w:rPr>
        <w:t xml:space="preserve">the delivery of </w:t>
      </w:r>
      <w:r w:rsidRPr="00873353">
        <w:rPr>
          <w:rFonts w:ascii="Times New Roman" w:eastAsia="Times New Roman" w:hAnsi="Times New Roman" w:cs="Times New Roman"/>
          <w:kern w:val="0"/>
          <w14:ligatures w14:val="none"/>
        </w:rPr>
        <w:t>online and remote education.</w:t>
      </w:r>
    </w:p>
    <w:p w14:paraId="3688BB5C" w14:textId="77777777" w:rsidR="00E25DE3" w:rsidRP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Engage with key stakeholders, including government officials, educators, legal experts, and representatives from the health and social services sectors, to gather input and insights.</w:t>
      </w:r>
    </w:p>
    <w:p w14:paraId="36888347" w14:textId="77777777" w:rsidR="00E25DE3" w:rsidRP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Develop updated versions of the Education Act, supporting legislation, policies, and MOUs based on best practices and stakeholder feedback.</w:t>
      </w:r>
    </w:p>
    <w:p w14:paraId="2E20FFE1" w14:textId="77777777" w:rsidR="00E25DE3" w:rsidRP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Develop detailed operational manuals and guidelines for the gender-responsive EIS to ensure consistent implementation.</w:t>
      </w:r>
    </w:p>
    <w:p w14:paraId="43052059" w14:textId="77777777" w:rsidR="00E25DE3" w:rsidRP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Organize and facilitate the Inception and Validation workshops to present findings, gather input, and validate the developed document.</w:t>
      </w:r>
    </w:p>
    <w:p w14:paraId="36B6C65B" w14:textId="77777777" w:rsidR="00E25DE3" w:rsidRP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Incorporate feedback from the workshops and stakeholders to finalize all documents and tools.</w:t>
      </w:r>
    </w:p>
    <w:p w14:paraId="1CE46A9A" w14:textId="77777777" w:rsidR="00E25DE3" w:rsidRDefault="00E25DE3" w:rsidP="00E25DE3">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Prepare and submit reports detailing the consultancy process, outcomes, and recommendations for further development.</w:t>
      </w:r>
    </w:p>
    <w:p w14:paraId="53423FB5" w14:textId="77777777" w:rsidR="003B4A86" w:rsidRPr="00E25DE3" w:rsidRDefault="003B4A86" w:rsidP="00380433">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01DA4BBF" w14:textId="371C6A14"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 Duration</w:t>
      </w:r>
    </w:p>
    <w:p w14:paraId="2E98A1E6"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consultancy is expected to take </w:t>
      </w:r>
      <w:r>
        <w:rPr>
          <w:rFonts w:ascii="Times New Roman" w:eastAsia="Times New Roman" w:hAnsi="Times New Roman" w:cs="Times New Roman"/>
          <w:b/>
          <w:bCs/>
          <w:kern w:val="0"/>
          <w14:ligatures w14:val="none"/>
        </w:rPr>
        <w:t>50 person-days over a two-year period</w:t>
      </w:r>
      <w:r>
        <w:rPr>
          <w:rFonts w:ascii="Times New Roman" w:eastAsia="Times New Roman" w:hAnsi="Times New Roman" w:cs="Times New Roman"/>
          <w:kern w:val="0"/>
          <w14:ligatures w14:val="none"/>
        </w:rPr>
        <w:t>.</w:t>
      </w:r>
    </w:p>
    <w:p w14:paraId="3087C149" w14:textId="77777777"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 Qualifications and Experience</w:t>
      </w:r>
    </w:p>
    <w:p w14:paraId="630ED7FF" w14:textId="77777777" w:rsidR="00E25DE3"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Consultancy Firm must have expertise in the following areas:</w:t>
      </w:r>
    </w:p>
    <w:p w14:paraId="4B81409B" w14:textId="77777777" w:rsidR="00E25DE3" w:rsidRPr="00E25DE3" w:rsidRDefault="00E25DE3" w:rsidP="00E25DE3">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Legal Expertise:</w:t>
      </w:r>
      <w:r>
        <w:rPr>
          <w:rFonts w:ascii="Times New Roman" w:eastAsia="Times New Roman" w:hAnsi="Times New Roman" w:cs="Times New Roman"/>
          <w:kern w:val="0"/>
          <w14:ligatures w14:val="none"/>
        </w:rPr>
        <w:t xml:space="preserve"> Expertise in reviewing, drafting, and updating legislation, particularly in the education sector.</w:t>
      </w:r>
    </w:p>
    <w:p w14:paraId="38985486" w14:textId="77777777" w:rsidR="00E25DE3" w:rsidRPr="00E25DE3" w:rsidRDefault="00E25DE3" w:rsidP="00E25DE3">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Inclusive Education and Gender Equity:</w:t>
      </w:r>
      <w:r>
        <w:rPr>
          <w:rFonts w:ascii="Times New Roman" w:eastAsia="Times New Roman" w:hAnsi="Times New Roman" w:cs="Times New Roman"/>
          <w:kern w:val="0"/>
          <w14:ligatures w14:val="none"/>
        </w:rPr>
        <w:t xml:space="preserve"> Knowledge and experience in gender-responsive and inclusive education practices.</w:t>
      </w:r>
    </w:p>
    <w:p w14:paraId="46EF66D4" w14:textId="77777777" w:rsidR="00E25DE3" w:rsidRPr="00E25DE3" w:rsidRDefault="00E25DE3" w:rsidP="00E25DE3">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Operational Guidelines Development:</w:t>
      </w:r>
      <w:r>
        <w:rPr>
          <w:rFonts w:ascii="Times New Roman" w:eastAsia="Times New Roman" w:hAnsi="Times New Roman" w:cs="Times New Roman"/>
          <w:kern w:val="0"/>
          <w14:ligatures w14:val="none"/>
        </w:rPr>
        <w:t xml:space="preserve"> Experience in developing and implementing operational manuals and procedures, especially in the education or public sector.</w:t>
      </w:r>
    </w:p>
    <w:p w14:paraId="6948BE29" w14:textId="77777777" w:rsidR="00E25DE3" w:rsidRPr="00E25DE3" w:rsidRDefault="00E25DE3" w:rsidP="00E25DE3">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Stakeholder Engagement:</w:t>
      </w:r>
      <w:r>
        <w:rPr>
          <w:rFonts w:ascii="Times New Roman" w:eastAsia="Times New Roman" w:hAnsi="Times New Roman" w:cs="Times New Roman"/>
          <w:kern w:val="0"/>
          <w14:ligatures w14:val="none"/>
        </w:rPr>
        <w:t xml:space="preserve"> Strong interpersonal and communication skills, with proven experience collaborating with government and education stakeholders.</w:t>
      </w:r>
    </w:p>
    <w:p w14:paraId="26B4215C" w14:textId="77777777"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 Deliverables</w:t>
      </w:r>
    </w:p>
    <w:p w14:paraId="67708090" w14:textId="77777777" w:rsidR="00E25DE3" w:rsidRPr="00E25DE3" w:rsidRDefault="00E25DE3" w:rsidP="00E25DE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Inception Report — A detailed report outlining the consultancy's approach and work plan.</w:t>
      </w:r>
    </w:p>
    <w:p w14:paraId="620112B7" w14:textId="77777777" w:rsidR="00E25DE3" w:rsidRPr="00E25DE3" w:rsidRDefault="00E25DE3" w:rsidP="00E25DE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Draft Updated Education Act and Supporting Legislation — Updated drafts of the Education Act and supporting policies, submitted for stakeholder review.</w:t>
      </w:r>
    </w:p>
    <w:p w14:paraId="5E37E0BA" w14:textId="77777777" w:rsidR="00E25DE3" w:rsidRPr="00E25DE3" w:rsidRDefault="00E25DE3" w:rsidP="00E25DE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Draft Special Needs Policy with accompanying strategy.</w:t>
      </w:r>
    </w:p>
    <w:p w14:paraId="20B52F24" w14:textId="77777777" w:rsidR="00E25DE3" w:rsidRPr="00E25DE3" w:rsidRDefault="00E25DE3" w:rsidP="00E25DE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Final Versions of All Documents — Finalized versions of the Education Act, policies, MOUs, and operational manuals.</w:t>
      </w:r>
    </w:p>
    <w:p w14:paraId="61DE3D4F" w14:textId="77777777" w:rsidR="00E25DE3" w:rsidRPr="00E25DE3" w:rsidRDefault="00E25DE3" w:rsidP="00E25DE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Final Consultancy Report — A comprehensive report summarizing the consultancy's activities, outcomes, and recommendations.</w:t>
      </w:r>
    </w:p>
    <w:p w14:paraId="25E2F99C" w14:textId="77777777" w:rsidR="00E25DE3" w:rsidRPr="00E25DE3" w:rsidRDefault="00E25DE3" w:rsidP="00E25DE3">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7. Implementation Arrangements</w:t>
      </w:r>
    </w:p>
    <w:p w14:paraId="0F8E9D75" w14:textId="77777777" w:rsidR="00BB6BB2" w:rsidRPr="00E25DE3" w:rsidRDefault="00E25DE3" w:rsidP="00E25D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GOSVG, through its </w:t>
      </w:r>
      <w:r>
        <w:rPr>
          <w:rFonts w:ascii="Times New Roman" w:eastAsia="Times New Roman" w:hAnsi="Times New Roman" w:cs="Times New Roman"/>
          <w:b/>
          <w:bCs/>
          <w:kern w:val="0"/>
          <w14:ligatures w14:val="none"/>
        </w:rPr>
        <w:t>Project Coordinator</w:t>
      </w:r>
      <w:r>
        <w:rPr>
          <w:rFonts w:ascii="Times New Roman" w:eastAsia="Times New Roman" w:hAnsi="Times New Roman" w:cs="Times New Roman"/>
          <w:kern w:val="0"/>
          <w14:ligatures w14:val="none"/>
        </w:rPr>
        <w:t xml:space="preserve">, supported by the </w:t>
      </w:r>
      <w:r>
        <w:rPr>
          <w:rFonts w:ascii="Times New Roman" w:eastAsia="Times New Roman" w:hAnsi="Times New Roman" w:cs="Times New Roman"/>
          <w:b/>
          <w:bCs/>
          <w:kern w:val="0"/>
          <w14:ligatures w14:val="none"/>
        </w:rPr>
        <w:t>Institutional Strengthening Coordinator</w:t>
      </w:r>
      <w:r>
        <w:rPr>
          <w:rFonts w:ascii="Times New Roman" w:eastAsia="Times New Roman" w:hAnsi="Times New Roman" w:cs="Times New Roman"/>
          <w:kern w:val="0"/>
          <w14:ligatures w14:val="none"/>
        </w:rPr>
        <w:t xml:space="preserve"> and the </w:t>
      </w:r>
      <w:r>
        <w:rPr>
          <w:rFonts w:ascii="Times New Roman" w:eastAsia="Times New Roman" w:hAnsi="Times New Roman" w:cs="Times New Roman"/>
          <w:b/>
          <w:bCs/>
          <w:kern w:val="0"/>
          <w14:ligatures w14:val="none"/>
        </w:rPr>
        <w:t>Education Officer for Special Education Needs</w:t>
      </w:r>
      <w:r>
        <w:rPr>
          <w:rFonts w:ascii="Times New Roman" w:eastAsia="Times New Roman" w:hAnsi="Times New Roman" w:cs="Times New Roman"/>
          <w:kern w:val="0"/>
          <w14:ligatures w14:val="none"/>
        </w:rPr>
        <w:t>, will facilitate the Consultant's work. They will provide relevant data and information necessary for the assignment and coordinate with key stakeholders to support the consultant's activities.</w:t>
      </w:r>
    </w:p>
    <w:sectPr w:rsidR="00BB6BB2" w:rsidRPr="00E2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E08"/>
    <w:multiLevelType w:val="hybridMultilevel"/>
    <w:tmpl w:val="5EB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0155C"/>
    <w:multiLevelType w:val="hybridMultilevel"/>
    <w:tmpl w:val="2886FCCE"/>
    <w:lvl w:ilvl="0" w:tplc="77C426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21975"/>
    <w:multiLevelType w:val="hybridMultilevel"/>
    <w:tmpl w:val="991070CE"/>
    <w:lvl w:ilvl="0" w:tplc="7F2893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318F3"/>
    <w:multiLevelType w:val="hybridMultilevel"/>
    <w:tmpl w:val="C2F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82866"/>
    <w:multiLevelType w:val="hybridMultilevel"/>
    <w:tmpl w:val="97F06698"/>
    <w:lvl w:ilvl="0" w:tplc="6186E4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E13F1"/>
    <w:multiLevelType w:val="hybridMultilevel"/>
    <w:tmpl w:val="8B6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36C09"/>
    <w:multiLevelType w:val="hybridMultilevel"/>
    <w:tmpl w:val="BC2A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40E51"/>
    <w:multiLevelType w:val="hybridMultilevel"/>
    <w:tmpl w:val="130062EA"/>
    <w:lvl w:ilvl="0" w:tplc="90187D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647301">
    <w:abstractNumId w:val="3"/>
  </w:num>
  <w:num w:numId="2" w16cid:durableId="1118790490">
    <w:abstractNumId w:val="2"/>
  </w:num>
  <w:num w:numId="3" w16cid:durableId="1405254092">
    <w:abstractNumId w:val="6"/>
  </w:num>
  <w:num w:numId="4" w16cid:durableId="1413813327">
    <w:abstractNumId w:val="1"/>
  </w:num>
  <w:num w:numId="5" w16cid:durableId="43876237">
    <w:abstractNumId w:val="0"/>
  </w:num>
  <w:num w:numId="6" w16cid:durableId="247621763">
    <w:abstractNumId w:val="7"/>
  </w:num>
  <w:num w:numId="7" w16cid:durableId="149176345">
    <w:abstractNumId w:val="5"/>
  </w:num>
  <w:num w:numId="8" w16cid:durableId="33620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E3"/>
    <w:rsid w:val="00044729"/>
    <w:rsid w:val="000F027D"/>
    <w:rsid w:val="00152E8F"/>
    <w:rsid w:val="00380433"/>
    <w:rsid w:val="003B4A86"/>
    <w:rsid w:val="00554EE8"/>
    <w:rsid w:val="005969A8"/>
    <w:rsid w:val="00873353"/>
    <w:rsid w:val="009D550F"/>
    <w:rsid w:val="00A12BF6"/>
    <w:rsid w:val="00A23773"/>
    <w:rsid w:val="00AC7CDF"/>
    <w:rsid w:val="00AE549C"/>
    <w:rsid w:val="00BB6BB2"/>
    <w:rsid w:val="00BC6EB9"/>
    <w:rsid w:val="00E25DE3"/>
    <w:rsid w:val="00FB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1CCC"/>
  <w15:chartTrackingRefBased/>
  <w15:docId w15:val="{F9190EBF-AB17-F349-9123-D514D57E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5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D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5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DE3"/>
    <w:rPr>
      <w:rFonts w:eastAsiaTheme="majorEastAsia" w:cstheme="majorBidi"/>
      <w:color w:val="272727" w:themeColor="text1" w:themeTint="D8"/>
    </w:rPr>
  </w:style>
  <w:style w:type="paragraph" w:styleId="Title">
    <w:name w:val="Title"/>
    <w:basedOn w:val="Normal"/>
    <w:next w:val="Normal"/>
    <w:link w:val="TitleChar"/>
    <w:uiPriority w:val="10"/>
    <w:qFormat/>
    <w:rsid w:val="00E2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DE3"/>
    <w:pPr>
      <w:spacing w:before="160"/>
      <w:jc w:val="center"/>
    </w:pPr>
    <w:rPr>
      <w:i/>
      <w:iCs/>
      <w:color w:val="404040" w:themeColor="text1" w:themeTint="BF"/>
    </w:rPr>
  </w:style>
  <w:style w:type="character" w:customStyle="1" w:styleId="QuoteChar">
    <w:name w:val="Quote Char"/>
    <w:basedOn w:val="DefaultParagraphFont"/>
    <w:link w:val="Quote"/>
    <w:uiPriority w:val="29"/>
    <w:rsid w:val="00E25DE3"/>
    <w:rPr>
      <w:i/>
      <w:iCs/>
      <w:color w:val="404040" w:themeColor="text1" w:themeTint="BF"/>
    </w:rPr>
  </w:style>
  <w:style w:type="paragraph" w:styleId="ListParagraph">
    <w:name w:val="List Paragraph"/>
    <w:basedOn w:val="Normal"/>
    <w:uiPriority w:val="34"/>
    <w:qFormat/>
    <w:rsid w:val="00E25DE3"/>
    <w:pPr>
      <w:ind w:left="720"/>
      <w:contextualSpacing/>
    </w:pPr>
  </w:style>
  <w:style w:type="character" w:styleId="IntenseEmphasis">
    <w:name w:val="Intense Emphasis"/>
    <w:basedOn w:val="DefaultParagraphFont"/>
    <w:uiPriority w:val="21"/>
    <w:qFormat/>
    <w:rsid w:val="00E25DE3"/>
    <w:rPr>
      <w:i/>
      <w:iCs/>
      <w:color w:val="2F5496" w:themeColor="accent1" w:themeShade="BF"/>
    </w:rPr>
  </w:style>
  <w:style w:type="paragraph" w:styleId="IntenseQuote">
    <w:name w:val="Intense Quote"/>
    <w:basedOn w:val="Normal"/>
    <w:next w:val="Normal"/>
    <w:link w:val="IntenseQuoteChar"/>
    <w:uiPriority w:val="30"/>
    <w:qFormat/>
    <w:rsid w:val="00E25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DE3"/>
    <w:rPr>
      <w:i/>
      <w:iCs/>
      <w:color w:val="2F5496" w:themeColor="accent1" w:themeShade="BF"/>
    </w:rPr>
  </w:style>
  <w:style w:type="character" w:styleId="IntenseReference">
    <w:name w:val="Intense Reference"/>
    <w:basedOn w:val="DefaultParagraphFont"/>
    <w:uiPriority w:val="32"/>
    <w:qFormat/>
    <w:rsid w:val="00E25DE3"/>
    <w:rPr>
      <w:b/>
      <w:bCs/>
      <w:smallCaps/>
      <w:color w:val="2F5496" w:themeColor="accent1" w:themeShade="BF"/>
      <w:spacing w:val="5"/>
    </w:rPr>
  </w:style>
  <w:style w:type="paragraph" w:customStyle="1" w:styleId="font-claude-response-body">
    <w:name w:val="font-claude-response-body"/>
    <w:basedOn w:val="Normal"/>
    <w:rsid w:val="00E25D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5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Porter</dc:creator>
  <cp:keywords/>
  <dc:description/>
  <cp:lastModifiedBy>Samantha Porter</cp:lastModifiedBy>
  <cp:revision>10</cp:revision>
  <dcterms:created xsi:type="dcterms:W3CDTF">2026-03-19T20:31:00Z</dcterms:created>
  <dcterms:modified xsi:type="dcterms:W3CDTF">2026-03-25T14:34:00Z</dcterms:modified>
</cp:coreProperties>
</file>